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6B66" w14:textId="7B2BD203" w:rsidR="007F1E25" w:rsidRPr="00166CC9" w:rsidRDefault="007F1E25" w:rsidP="007F1E25">
      <w:pPr>
        <w:jc w:val="center"/>
        <w:rPr>
          <w:sz w:val="36"/>
          <w:szCs w:val="36"/>
        </w:rPr>
      </w:pPr>
      <w:r w:rsidRPr="00166CC9">
        <w:rPr>
          <w:sz w:val="36"/>
          <w:szCs w:val="36"/>
        </w:rPr>
        <w:t xml:space="preserve">Edits to Draft Wireless Telecommunications Facilities Ordinance </w:t>
      </w:r>
    </w:p>
    <w:p w14:paraId="3C9917CC" w14:textId="6D97A4C0" w:rsidR="007F1E25" w:rsidRPr="00166CC9" w:rsidRDefault="007F1E25" w:rsidP="00166CC9">
      <w:pPr>
        <w:jc w:val="center"/>
        <w:rPr>
          <w:sz w:val="36"/>
          <w:szCs w:val="36"/>
        </w:rPr>
      </w:pPr>
      <w:r w:rsidRPr="00166CC9">
        <w:rPr>
          <w:sz w:val="36"/>
          <w:szCs w:val="36"/>
        </w:rPr>
        <w:t xml:space="preserve">for the City of </w:t>
      </w:r>
      <w:proofErr w:type="spellStart"/>
      <w:r w:rsidR="000260FD">
        <w:rPr>
          <w:sz w:val="36"/>
          <w:szCs w:val="36"/>
        </w:rPr>
        <w:t>xxxxx</w:t>
      </w:r>
      <w:proofErr w:type="spellEnd"/>
      <w:r w:rsidRPr="00166CC9">
        <w:rPr>
          <w:sz w:val="36"/>
          <w:szCs w:val="36"/>
        </w:rPr>
        <w:t xml:space="preserve">, </w:t>
      </w:r>
      <w:proofErr w:type="spellStart"/>
      <w:r w:rsidR="000260FD">
        <w:rPr>
          <w:sz w:val="36"/>
          <w:szCs w:val="36"/>
        </w:rPr>
        <w:t>xxxxx</w:t>
      </w:r>
      <w:proofErr w:type="spellEnd"/>
    </w:p>
    <w:p w14:paraId="2CA005A0" w14:textId="7C5F12DA" w:rsidR="007F1E25" w:rsidRPr="00166CC9" w:rsidRDefault="007F1E25" w:rsidP="007F1E25">
      <w:pPr>
        <w:jc w:val="center"/>
        <w:rPr>
          <w:sz w:val="28"/>
          <w:szCs w:val="28"/>
        </w:rPr>
      </w:pPr>
      <w:r w:rsidRPr="00166CC9">
        <w:rPr>
          <w:sz w:val="28"/>
          <w:szCs w:val="28"/>
        </w:rPr>
        <w:t>January 18, 2020</w:t>
      </w:r>
    </w:p>
    <w:p w14:paraId="66633240" w14:textId="068BA13D" w:rsidR="007F1E25" w:rsidRDefault="007F1E25" w:rsidP="007F1E25">
      <w:pPr>
        <w:jc w:val="center"/>
      </w:pPr>
    </w:p>
    <w:p w14:paraId="35B5486C" w14:textId="4FB02F14" w:rsidR="007F1E25" w:rsidRPr="00EA6348" w:rsidRDefault="007F1E25" w:rsidP="007F1E25">
      <w:pPr>
        <w:jc w:val="center"/>
        <w:rPr>
          <w:i/>
          <w:iCs/>
          <w:sz w:val="30"/>
          <w:szCs w:val="30"/>
        </w:rPr>
      </w:pPr>
      <w:r w:rsidRPr="00EA6348">
        <w:rPr>
          <w:i/>
          <w:iCs/>
          <w:sz w:val="30"/>
          <w:szCs w:val="30"/>
        </w:rPr>
        <w:t xml:space="preserve">Submitted on behalf of the </w:t>
      </w:r>
      <w:proofErr w:type="spellStart"/>
      <w:r w:rsidR="000260FD">
        <w:rPr>
          <w:i/>
          <w:iCs/>
          <w:sz w:val="30"/>
          <w:szCs w:val="30"/>
        </w:rPr>
        <w:t>xxxxx</w:t>
      </w:r>
      <w:proofErr w:type="spellEnd"/>
      <w:r w:rsidRPr="00EA6348">
        <w:rPr>
          <w:i/>
          <w:iCs/>
          <w:sz w:val="30"/>
          <w:szCs w:val="30"/>
        </w:rPr>
        <w:t xml:space="preserve"> Anti-5G Microwave Network</w:t>
      </w:r>
    </w:p>
    <w:p w14:paraId="154C93EF" w14:textId="150CAAF8" w:rsidR="007F1E25" w:rsidRDefault="007F1E25" w:rsidP="007F1E25"/>
    <w:p w14:paraId="2207B706" w14:textId="2BD07AF8" w:rsidR="007F1E25" w:rsidRPr="00166CC9" w:rsidRDefault="003403E1" w:rsidP="007F1E25">
      <w:pPr>
        <w:rPr>
          <w:b/>
          <w:bCs/>
          <w:u w:val="single"/>
        </w:rPr>
      </w:pPr>
      <w:r>
        <w:rPr>
          <w:b/>
          <w:bCs/>
          <w:u w:val="single"/>
        </w:rPr>
        <w:t>1</w:t>
      </w:r>
      <w:r w:rsidR="0001197D">
        <w:rPr>
          <w:b/>
          <w:bCs/>
          <w:u w:val="single"/>
        </w:rPr>
        <w:t>5</w:t>
      </w:r>
      <w:r>
        <w:rPr>
          <w:b/>
          <w:bCs/>
          <w:u w:val="single"/>
        </w:rPr>
        <w:t xml:space="preserve"> Points </w:t>
      </w:r>
      <w:r w:rsidR="007F1E25" w:rsidRPr="00166CC9">
        <w:rPr>
          <w:b/>
          <w:bCs/>
          <w:u w:val="single"/>
        </w:rPr>
        <w:t xml:space="preserve">General </w:t>
      </w:r>
      <w:r>
        <w:rPr>
          <w:b/>
          <w:bCs/>
          <w:u w:val="single"/>
        </w:rPr>
        <w:t>Outline o</w:t>
      </w:r>
      <w:r w:rsidR="005E1402">
        <w:rPr>
          <w:b/>
          <w:bCs/>
          <w:u w:val="single"/>
        </w:rPr>
        <w:t>n</w:t>
      </w:r>
      <w:r>
        <w:rPr>
          <w:b/>
          <w:bCs/>
          <w:u w:val="single"/>
        </w:rPr>
        <w:t xml:space="preserve"> Changes</w:t>
      </w:r>
      <w:r w:rsidR="007F1E25" w:rsidRPr="00166CC9">
        <w:rPr>
          <w:b/>
          <w:bCs/>
          <w:u w:val="single"/>
        </w:rPr>
        <w:t xml:space="preserve"> &amp; Intent:</w:t>
      </w:r>
    </w:p>
    <w:p w14:paraId="1F5297DA" w14:textId="77777777" w:rsidR="007F1E25" w:rsidRPr="007F1E25" w:rsidRDefault="007F1E25" w:rsidP="007F1E25">
      <w:pPr>
        <w:rPr>
          <w:u w:val="single"/>
        </w:rPr>
      </w:pPr>
    </w:p>
    <w:p w14:paraId="1E587640" w14:textId="7BAE8059" w:rsidR="007F1E25" w:rsidRDefault="007F1E25" w:rsidP="007F1E25">
      <w:pPr>
        <w:pStyle w:val="ListParagraph"/>
        <w:numPr>
          <w:ilvl w:val="0"/>
          <w:numId w:val="1"/>
        </w:numPr>
      </w:pPr>
      <w:r>
        <w:t>“</w:t>
      </w:r>
      <w:r w:rsidR="00EA6348">
        <w:t>T</w:t>
      </w:r>
      <w:r>
        <w:t>ele” is to be reinstated into the main title for consistency and co</w:t>
      </w:r>
      <w:r w:rsidR="003403E1">
        <w:t>n</w:t>
      </w:r>
      <w:r>
        <w:t xml:space="preserve">formity to the requirements of the </w:t>
      </w:r>
      <w:r w:rsidR="003403E1">
        <w:t>“</w:t>
      </w:r>
      <w:proofErr w:type="spellStart"/>
      <w:proofErr w:type="gramStart"/>
      <w:r>
        <w:t>T</w:t>
      </w:r>
      <w:r w:rsidR="003403E1">
        <w:t>ele”</w:t>
      </w:r>
      <w:r>
        <w:t>communications</w:t>
      </w:r>
      <w:proofErr w:type="spellEnd"/>
      <w:proofErr w:type="gramEnd"/>
      <w:r>
        <w:t xml:space="preserve"> Act of 1996, and not the arbitrary and capricious request of the FCC’s agenda to connect billions of wireless devices </w:t>
      </w:r>
      <w:r w:rsidR="003403E1">
        <w:t>to</w:t>
      </w:r>
      <w:r>
        <w:t xml:space="preserve"> service the Internet of Things (IoT).  The IoT is not within jurisdiction for need of service, only </w:t>
      </w:r>
      <w:r w:rsidR="003403E1">
        <w:t xml:space="preserve">(telephony) </w:t>
      </w:r>
      <w:r>
        <w:t xml:space="preserve">gap in coverage is.  The revised wording as directed by </w:t>
      </w:r>
      <w:r w:rsidR="005D6536">
        <w:t>xxxxx</w:t>
      </w:r>
      <w:bookmarkStart w:id="0" w:name="_GoBack"/>
      <w:bookmarkEnd w:id="0"/>
      <w:r>
        <w:t xml:space="preserve"> and legal counsel introducing “Communications” instead of the original “Telecommunications” opens us up to the acceptance of other usage of wireless communications not related to calls but for the IoT, and thus, the agenda of densifications of “small” cell antennas throughout the city.  The </w:t>
      </w:r>
      <w:proofErr w:type="spellStart"/>
      <w:r w:rsidR="000260FD">
        <w:t>xxxxx</w:t>
      </w:r>
      <w:proofErr w:type="spellEnd"/>
      <w:r>
        <w:t xml:space="preserve"> residents do not care to be exposed to such increases and unnecessary microwave radiation as a result of this “communications” agenda, the fulfillment of the so-called IoT.  The original title, “Wireless Telecommunications Facilities” should be reinstated, and not “Wireless Communications Facilities”.</w:t>
      </w:r>
    </w:p>
    <w:p w14:paraId="7B3D60F6" w14:textId="77777777" w:rsidR="007F1E25" w:rsidRDefault="007F1E25" w:rsidP="007F1E25">
      <w:pPr>
        <w:pStyle w:val="ListParagraph"/>
      </w:pPr>
    </w:p>
    <w:p w14:paraId="4997D848" w14:textId="601E7382" w:rsidR="003403E1" w:rsidRDefault="007F1E25" w:rsidP="003403E1">
      <w:pPr>
        <w:pStyle w:val="ListParagraph"/>
        <w:numPr>
          <w:ilvl w:val="0"/>
          <w:numId w:val="1"/>
        </w:numPr>
      </w:pPr>
      <w:r>
        <w:t xml:space="preserve">Industry must show proof of need for gap </w:t>
      </w:r>
      <w:r w:rsidR="0001197D">
        <w:t>in coverage regarding</w:t>
      </w:r>
      <w:r>
        <w:t xml:space="preserve"> telephone communications services under Title II</w:t>
      </w:r>
      <w:r w:rsidR="003403E1">
        <w:t>, and the Telecommunications Act of 1996.</w:t>
      </w:r>
      <w:r w:rsidR="00A7718D">
        <w:t xml:space="preserve">  </w:t>
      </w:r>
      <w:r w:rsidR="0001197D">
        <w:t>I</w:t>
      </w:r>
      <w:r>
        <w:t xml:space="preserve">ndustry must </w:t>
      </w:r>
      <w:r w:rsidR="0001197D">
        <w:t xml:space="preserve">also </w:t>
      </w:r>
      <w:r>
        <w:t>determine the least intrusive means for achieving</w:t>
      </w:r>
      <w:r w:rsidR="003403E1">
        <w:t xml:space="preserve"> </w:t>
      </w:r>
      <w:r w:rsidR="0001197D">
        <w:t>this coverage.</w:t>
      </w:r>
    </w:p>
    <w:p w14:paraId="615112A1" w14:textId="77777777" w:rsidR="003403E1" w:rsidRPr="003403E1" w:rsidRDefault="003403E1" w:rsidP="003403E1">
      <w:pPr>
        <w:pStyle w:val="ListParagraph"/>
        <w:rPr>
          <w:color w:val="000000" w:themeColor="text1"/>
        </w:rPr>
      </w:pPr>
    </w:p>
    <w:p w14:paraId="49CCE96A" w14:textId="45CCCEF2" w:rsidR="003403E1" w:rsidRDefault="003403E1" w:rsidP="003403E1">
      <w:pPr>
        <w:pStyle w:val="ListParagraph"/>
        <w:numPr>
          <w:ilvl w:val="0"/>
          <w:numId w:val="1"/>
        </w:numPr>
        <w:rPr>
          <w:color w:val="000000" w:themeColor="text1"/>
        </w:rPr>
      </w:pPr>
      <w:r w:rsidRPr="003403E1">
        <w:rPr>
          <w:color w:val="000000" w:themeColor="text1"/>
        </w:rPr>
        <w:t xml:space="preserve">Submittal </w:t>
      </w:r>
      <w:r>
        <w:rPr>
          <w:color w:val="000000" w:themeColor="text1"/>
        </w:rPr>
        <w:t>by</w:t>
      </w:r>
      <w:r w:rsidRPr="003403E1">
        <w:rPr>
          <w:color w:val="000000" w:themeColor="text1"/>
        </w:rPr>
        <w:t xml:space="preserve"> applicant proof of NEPA review by the FCC as required by the National Environmental Policy Act (NEPA) for actions that may have significant environmental effect (47 CFR 1.1307) based on </w:t>
      </w:r>
      <w:r>
        <w:rPr>
          <w:color w:val="000000" w:themeColor="text1"/>
        </w:rPr>
        <w:t>the federal undertaking of deploying over</w:t>
      </w:r>
      <w:r w:rsidRPr="003403E1">
        <w:rPr>
          <w:color w:val="000000" w:themeColor="text1"/>
        </w:rPr>
        <w:t xml:space="preserve"> 800,000 5G/4G </w:t>
      </w:r>
      <w:proofErr w:type="spellStart"/>
      <w:r w:rsidRPr="003403E1">
        <w:rPr>
          <w:color w:val="000000" w:themeColor="text1"/>
        </w:rPr>
        <w:t>sWTF</w:t>
      </w:r>
      <w:proofErr w:type="spellEnd"/>
      <w:r w:rsidRPr="003403E1">
        <w:rPr>
          <w:color w:val="000000" w:themeColor="text1"/>
        </w:rPr>
        <w:t xml:space="preserve">.  </w:t>
      </w:r>
    </w:p>
    <w:p w14:paraId="5523744D" w14:textId="77777777" w:rsidR="003403E1" w:rsidRPr="003403E1" w:rsidRDefault="003403E1" w:rsidP="003403E1">
      <w:pPr>
        <w:pStyle w:val="ListParagraph"/>
        <w:rPr>
          <w:color w:val="000000" w:themeColor="text1"/>
        </w:rPr>
      </w:pPr>
    </w:p>
    <w:p w14:paraId="16CDC98E" w14:textId="6BC02CA7" w:rsidR="00221104" w:rsidRDefault="003403E1" w:rsidP="00221104">
      <w:pPr>
        <w:pStyle w:val="ListParagraph"/>
        <w:numPr>
          <w:ilvl w:val="0"/>
          <w:numId w:val="1"/>
        </w:numPr>
        <w:rPr>
          <w:color w:val="000000" w:themeColor="text1"/>
        </w:rPr>
      </w:pPr>
      <w:r w:rsidRPr="003403E1">
        <w:rPr>
          <w:color w:val="000000" w:themeColor="text1"/>
        </w:rPr>
        <w:t>All small wireless telecommunication facilities locations consider</w:t>
      </w:r>
      <w:r w:rsidR="001A754F">
        <w:rPr>
          <w:color w:val="000000" w:themeColor="text1"/>
        </w:rPr>
        <w:t>ed</w:t>
      </w:r>
      <w:r w:rsidRPr="003403E1">
        <w:rPr>
          <w:color w:val="000000" w:themeColor="text1"/>
        </w:rPr>
        <w:t xml:space="preserve"> shall be in compliance with the United States Access Board and Americans with Disabilities Act (ADA) </w:t>
      </w:r>
      <w:r w:rsidR="001A754F">
        <w:rPr>
          <w:color w:val="000000" w:themeColor="text1"/>
        </w:rPr>
        <w:t>recognizing individuals with</w:t>
      </w:r>
      <w:r w:rsidRPr="003403E1">
        <w:rPr>
          <w:color w:val="000000" w:themeColor="text1"/>
        </w:rPr>
        <w:t xml:space="preserve"> electro-sensitivity (ES) as a disability</w:t>
      </w:r>
      <w:r w:rsidR="001A754F">
        <w:rPr>
          <w:color w:val="000000" w:themeColor="text1"/>
        </w:rPr>
        <w:t>,</w:t>
      </w:r>
      <w:r w:rsidRPr="003403E1">
        <w:rPr>
          <w:color w:val="000000" w:themeColor="text1"/>
        </w:rPr>
        <w:t xml:space="preserve"> and providing safe access to and from </w:t>
      </w:r>
      <w:r w:rsidR="00221104">
        <w:rPr>
          <w:color w:val="000000" w:themeColor="text1"/>
        </w:rPr>
        <w:t>their homes and community where they live, work, study, commune, and heal.</w:t>
      </w:r>
      <w:r w:rsidRPr="003403E1">
        <w:rPr>
          <w:color w:val="000000" w:themeColor="text1"/>
        </w:rPr>
        <w:t xml:space="preserve"> </w:t>
      </w:r>
      <w:r w:rsidR="00221104">
        <w:rPr>
          <w:color w:val="000000" w:themeColor="text1"/>
        </w:rPr>
        <w:t xml:space="preserve"> </w:t>
      </w:r>
      <w:r w:rsidRPr="003403E1">
        <w:rPr>
          <w:color w:val="000000" w:themeColor="text1"/>
        </w:rPr>
        <w:t>Electro-sensitivity is also known as radar sickness and microwave sickness</w:t>
      </w:r>
      <w:r w:rsidR="00221104">
        <w:rPr>
          <w:color w:val="000000" w:themeColor="text1"/>
        </w:rPr>
        <w:t>,</w:t>
      </w:r>
      <w:r w:rsidRPr="003403E1">
        <w:rPr>
          <w:color w:val="000000" w:themeColor="text1"/>
        </w:rPr>
        <w:t xml:space="preserve"> but not limited to these.</w:t>
      </w:r>
    </w:p>
    <w:p w14:paraId="198452E4" w14:textId="77777777" w:rsidR="00A7718D" w:rsidRPr="003403E1" w:rsidRDefault="00A7718D" w:rsidP="003403E1">
      <w:pPr>
        <w:rPr>
          <w:color w:val="000000" w:themeColor="text1"/>
        </w:rPr>
      </w:pPr>
    </w:p>
    <w:p w14:paraId="7C92DB77" w14:textId="5B713D30" w:rsidR="003B7AFC" w:rsidRPr="00AA4D63" w:rsidRDefault="00A7718D" w:rsidP="003B7AFC">
      <w:pPr>
        <w:pStyle w:val="ListParagraph"/>
        <w:numPr>
          <w:ilvl w:val="0"/>
          <w:numId w:val="1"/>
        </w:numPr>
        <w:ind w:left="648"/>
        <w:rPr>
          <w:color w:val="000000" w:themeColor="text1"/>
        </w:rPr>
      </w:pPr>
      <w:r>
        <w:rPr>
          <w:color w:val="000000" w:themeColor="text1"/>
        </w:rPr>
        <w:t xml:space="preserve">No </w:t>
      </w:r>
      <w:proofErr w:type="spellStart"/>
      <w:r>
        <w:rPr>
          <w:color w:val="000000" w:themeColor="text1"/>
        </w:rPr>
        <w:t>sWTF</w:t>
      </w:r>
      <w:proofErr w:type="spellEnd"/>
      <w:r>
        <w:rPr>
          <w:color w:val="000000" w:themeColor="text1"/>
        </w:rPr>
        <w:t xml:space="preserve"> shall be placed within the radius of 500’ </w:t>
      </w:r>
      <w:r w:rsidR="001A754F">
        <w:rPr>
          <w:color w:val="000000" w:themeColor="text1"/>
        </w:rPr>
        <w:t>from</w:t>
      </w:r>
      <w:r>
        <w:rPr>
          <w:color w:val="000000" w:themeColor="text1"/>
        </w:rPr>
        <w:t xml:space="preserve"> any residential home</w:t>
      </w:r>
      <w:r w:rsidR="001A754F">
        <w:rPr>
          <w:color w:val="000000" w:themeColor="text1"/>
        </w:rPr>
        <w:t>.  T</w:t>
      </w:r>
      <w:r>
        <w:rPr>
          <w:color w:val="000000" w:themeColor="text1"/>
        </w:rPr>
        <w:t xml:space="preserve">he topography of the City of </w:t>
      </w:r>
      <w:proofErr w:type="spellStart"/>
      <w:r w:rsidR="000260FD">
        <w:rPr>
          <w:color w:val="000000" w:themeColor="text1"/>
        </w:rPr>
        <w:t>xxxxx</w:t>
      </w:r>
      <w:proofErr w:type="spellEnd"/>
      <w:r>
        <w:rPr>
          <w:color w:val="000000" w:themeColor="text1"/>
        </w:rPr>
        <w:t xml:space="preserve"> is flat</w:t>
      </w:r>
      <w:r w:rsidR="001A754F">
        <w:rPr>
          <w:color w:val="000000" w:themeColor="text1"/>
        </w:rPr>
        <w:t xml:space="preserve"> which means</w:t>
      </w:r>
      <w:r w:rsidR="00F14E19">
        <w:rPr>
          <w:color w:val="000000" w:themeColor="text1"/>
        </w:rPr>
        <w:t xml:space="preserve"> </w:t>
      </w:r>
      <w:r>
        <w:rPr>
          <w:color w:val="000000" w:themeColor="text1"/>
        </w:rPr>
        <w:t xml:space="preserve">the wireless radiation propagation distance will travel </w:t>
      </w:r>
      <w:r w:rsidR="001A754F">
        <w:rPr>
          <w:color w:val="000000" w:themeColor="text1"/>
        </w:rPr>
        <w:t xml:space="preserve">further in the tens to thousands and thousands of feet than areas in hills, swales and valleys.  Because of the low to no impedance of RF microwave radiation propagation </w:t>
      </w:r>
      <w:r w:rsidR="008F78A5">
        <w:rPr>
          <w:color w:val="000000" w:themeColor="text1"/>
        </w:rPr>
        <w:t>due to</w:t>
      </w:r>
      <w:r w:rsidR="001A754F">
        <w:rPr>
          <w:color w:val="000000" w:themeColor="text1"/>
        </w:rPr>
        <w:t xml:space="preserve"> a flat topography, dense placements of </w:t>
      </w:r>
      <w:proofErr w:type="spellStart"/>
      <w:r w:rsidR="001A754F">
        <w:rPr>
          <w:color w:val="000000" w:themeColor="text1"/>
        </w:rPr>
        <w:t>sWTF</w:t>
      </w:r>
      <w:proofErr w:type="spellEnd"/>
      <w:r w:rsidR="001A754F">
        <w:rPr>
          <w:color w:val="000000" w:themeColor="text1"/>
        </w:rPr>
        <w:t xml:space="preserve"> and WTF is not necessary.  </w:t>
      </w:r>
      <w:r>
        <w:rPr>
          <w:color w:val="000000" w:themeColor="text1"/>
        </w:rPr>
        <w:t xml:space="preserve">Industry tests on MMW </w:t>
      </w:r>
      <w:r w:rsidR="001A754F">
        <w:rPr>
          <w:color w:val="000000" w:themeColor="text1"/>
        </w:rPr>
        <w:t>have proven</w:t>
      </w:r>
      <w:r w:rsidR="00F14E19">
        <w:rPr>
          <w:color w:val="000000" w:themeColor="text1"/>
        </w:rPr>
        <w:t xml:space="preserve"> these frequencies can</w:t>
      </w:r>
      <w:r>
        <w:rPr>
          <w:color w:val="000000" w:themeColor="text1"/>
        </w:rPr>
        <w:t xml:space="preserve"> travel </w:t>
      </w:r>
      <w:r w:rsidR="00F14E19">
        <w:rPr>
          <w:color w:val="000000" w:themeColor="text1"/>
        </w:rPr>
        <w:t>over</w:t>
      </w:r>
      <w:r>
        <w:rPr>
          <w:color w:val="000000" w:themeColor="text1"/>
        </w:rPr>
        <w:t xml:space="preserve"> 2’000 </w:t>
      </w:r>
      <w:r w:rsidRPr="00AA4D63">
        <w:rPr>
          <w:color w:val="000000" w:themeColor="text1"/>
        </w:rPr>
        <w:t xml:space="preserve">feet </w:t>
      </w:r>
      <w:r w:rsidR="00F14E19" w:rsidRPr="00AA4D63">
        <w:rPr>
          <w:color w:val="000000" w:themeColor="text1"/>
        </w:rPr>
        <w:t>through</w:t>
      </w:r>
      <w:r w:rsidRPr="00AA4D63">
        <w:rPr>
          <w:color w:val="000000" w:themeColor="text1"/>
        </w:rPr>
        <w:t xml:space="preserve"> dense canop</w:t>
      </w:r>
      <w:r w:rsidR="001A754F" w:rsidRPr="00AA4D63">
        <w:rPr>
          <w:color w:val="000000" w:themeColor="text1"/>
        </w:rPr>
        <w:t>y</w:t>
      </w:r>
      <w:r w:rsidRPr="00AA4D63">
        <w:rPr>
          <w:color w:val="000000" w:themeColor="text1"/>
        </w:rPr>
        <w:t xml:space="preserve"> of trees and vegetation and still </w:t>
      </w:r>
      <w:r w:rsidR="001A754F" w:rsidRPr="00AA4D63">
        <w:rPr>
          <w:color w:val="000000" w:themeColor="text1"/>
        </w:rPr>
        <w:t>enable</w:t>
      </w:r>
      <w:r w:rsidRPr="00AA4D63">
        <w:rPr>
          <w:color w:val="000000" w:themeColor="text1"/>
        </w:rPr>
        <w:t xml:space="preserve"> connectivity.</w:t>
      </w:r>
    </w:p>
    <w:p w14:paraId="28FA7152" w14:textId="77777777" w:rsidR="003B7AFC" w:rsidRPr="00AA4D63" w:rsidRDefault="003B7AFC" w:rsidP="003B7AFC">
      <w:pPr>
        <w:pStyle w:val="ListParagraph"/>
        <w:rPr>
          <w:color w:val="000000" w:themeColor="text1"/>
        </w:rPr>
      </w:pPr>
    </w:p>
    <w:p w14:paraId="6951333E" w14:textId="052056F3" w:rsidR="00AA4D63" w:rsidRPr="00AA4D63" w:rsidRDefault="003B7AFC" w:rsidP="00AA4D63">
      <w:pPr>
        <w:pStyle w:val="ListParagraph"/>
        <w:numPr>
          <w:ilvl w:val="0"/>
          <w:numId w:val="1"/>
        </w:numPr>
        <w:ind w:left="648"/>
        <w:rPr>
          <w:color w:val="000000" w:themeColor="text1"/>
        </w:rPr>
      </w:pPr>
      <w:r w:rsidRPr="00AA4D63">
        <w:rPr>
          <w:color w:val="000000" w:themeColor="text1"/>
        </w:rPr>
        <w:t xml:space="preserve">Each </w:t>
      </w:r>
      <w:proofErr w:type="spellStart"/>
      <w:r w:rsidR="00AA4D63" w:rsidRPr="00AA4D63">
        <w:rPr>
          <w:color w:val="000000" w:themeColor="text1"/>
        </w:rPr>
        <w:t>sWTF</w:t>
      </w:r>
      <w:proofErr w:type="spellEnd"/>
      <w:r w:rsidRPr="00AA4D63">
        <w:rPr>
          <w:color w:val="000000" w:themeColor="text1"/>
        </w:rPr>
        <w:t xml:space="preserve"> must be at least </w:t>
      </w:r>
      <w:r w:rsidR="00AA4D63" w:rsidRPr="00AA4D63">
        <w:rPr>
          <w:color w:val="000000" w:themeColor="text1"/>
        </w:rPr>
        <w:t>1,</w:t>
      </w:r>
      <w:r w:rsidR="00AA4D63">
        <w:rPr>
          <w:color w:val="000000" w:themeColor="text1"/>
        </w:rPr>
        <w:t>5</w:t>
      </w:r>
      <w:r w:rsidR="00AA4D63" w:rsidRPr="00AA4D63">
        <w:rPr>
          <w:color w:val="000000" w:themeColor="text1"/>
        </w:rPr>
        <w:t>00’</w:t>
      </w:r>
      <w:r w:rsidRPr="00AA4D63">
        <w:rPr>
          <w:color w:val="000000" w:themeColor="text1"/>
        </w:rPr>
        <w:t xml:space="preserve"> away from </w:t>
      </w:r>
      <w:r w:rsidR="00AA4D63">
        <w:rPr>
          <w:color w:val="000000" w:themeColor="text1"/>
        </w:rPr>
        <w:t>another</w:t>
      </w:r>
      <w:r w:rsidRPr="00AA4D63">
        <w:rPr>
          <w:color w:val="000000" w:themeColor="text1"/>
        </w:rPr>
        <w:t xml:space="preserve"> nearest </w:t>
      </w:r>
      <w:proofErr w:type="spellStart"/>
      <w:r w:rsidR="00AA4D63" w:rsidRPr="00AA4D63">
        <w:rPr>
          <w:color w:val="000000" w:themeColor="text1"/>
        </w:rPr>
        <w:t>sWTF</w:t>
      </w:r>
      <w:proofErr w:type="spellEnd"/>
      <w:r w:rsidR="00AA4D63" w:rsidRPr="00AA4D63">
        <w:rPr>
          <w:color w:val="000000" w:themeColor="text1"/>
        </w:rPr>
        <w:t xml:space="preserve">. </w:t>
      </w:r>
    </w:p>
    <w:p w14:paraId="22297104" w14:textId="77777777" w:rsidR="00AA4D63" w:rsidRPr="00AA4D63" w:rsidRDefault="00AA4D63" w:rsidP="00AA4D63">
      <w:pPr>
        <w:rPr>
          <w:color w:val="000000" w:themeColor="text1"/>
        </w:rPr>
      </w:pPr>
    </w:p>
    <w:p w14:paraId="6FE8378A" w14:textId="21A6CBA4" w:rsidR="00AA4D63" w:rsidRPr="00AA4D63" w:rsidRDefault="003B7AFC" w:rsidP="0001197D">
      <w:pPr>
        <w:pStyle w:val="ListParagraph"/>
        <w:numPr>
          <w:ilvl w:val="0"/>
          <w:numId w:val="1"/>
        </w:numPr>
        <w:ind w:left="648"/>
        <w:rPr>
          <w:color w:val="000000" w:themeColor="text1"/>
        </w:rPr>
      </w:pPr>
      <w:r w:rsidRPr="00AA4D63">
        <w:rPr>
          <w:color w:val="000000" w:themeColor="text1"/>
        </w:rPr>
        <w:t xml:space="preserve">Each </w:t>
      </w:r>
      <w:proofErr w:type="spellStart"/>
      <w:r w:rsidR="00AA4D63" w:rsidRPr="00AA4D63">
        <w:rPr>
          <w:color w:val="000000" w:themeColor="text1"/>
        </w:rPr>
        <w:t>sWTF</w:t>
      </w:r>
      <w:proofErr w:type="spellEnd"/>
      <w:r w:rsidRPr="00AA4D63">
        <w:rPr>
          <w:color w:val="000000" w:themeColor="text1"/>
        </w:rPr>
        <w:t xml:space="preserve"> must be at </w:t>
      </w:r>
      <w:r w:rsidR="00AA4D63" w:rsidRPr="00AA4D63">
        <w:rPr>
          <w:color w:val="000000" w:themeColor="text1"/>
        </w:rPr>
        <w:t>least 1,</w:t>
      </w:r>
      <w:r w:rsidR="00AA4D63">
        <w:rPr>
          <w:color w:val="000000" w:themeColor="text1"/>
        </w:rPr>
        <w:t>5</w:t>
      </w:r>
      <w:r w:rsidR="00AA4D63" w:rsidRPr="00AA4D63">
        <w:rPr>
          <w:color w:val="000000" w:themeColor="text1"/>
        </w:rPr>
        <w:t>00’</w:t>
      </w:r>
      <w:r w:rsidRPr="00AA4D63">
        <w:rPr>
          <w:color w:val="000000" w:themeColor="text1"/>
        </w:rPr>
        <w:t xml:space="preserve"> away from </w:t>
      </w:r>
      <w:r w:rsidR="00AA4D63" w:rsidRPr="00AA4D63">
        <w:rPr>
          <w:color w:val="000000" w:themeColor="text1"/>
        </w:rPr>
        <w:t>schools, parks, and sports fields.</w:t>
      </w:r>
    </w:p>
    <w:p w14:paraId="1F080119" w14:textId="77777777" w:rsidR="0001197D" w:rsidRPr="00AA4D63" w:rsidRDefault="0001197D" w:rsidP="00AA4D63">
      <w:pPr>
        <w:rPr>
          <w:color w:val="000000" w:themeColor="text1"/>
        </w:rPr>
      </w:pPr>
    </w:p>
    <w:p w14:paraId="02B5C423" w14:textId="43DC2FB1" w:rsidR="0001197D" w:rsidRPr="00AA4D63" w:rsidRDefault="0001197D" w:rsidP="0001197D">
      <w:pPr>
        <w:pStyle w:val="ListParagraph"/>
        <w:numPr>
          <w:ilvl w:val="0"/>
          <w:numId w:val="1"/>
        </w:numPr>
        <w:ind w:left="648"/>
        <w:rPr>
          <w:color w:val="000000" w:themeColor="text1"/>
        </w:rPr>
      </w:pPr>
      <w:r w:rsidRPr="0001197D">
        <w:rPr>
          <w:color w:val="000000" w:themeColor="text1"/>
        </w:rPr>
        <w:t>Proof of Safety Testing Above 6GHz.  Submittal of report of proof of safety testing and/or SAR and/or similar calculable means for RF power levels of exposures from all antennas, transmitters and electronic components that utilize frequencies past 6GHz determined at ground level, second and third storied buildings</w:t>
      </w:r>
      <w:r w:rsidRPr="0001197D">
        <w:rPr>
          <w:b/>
          <w:bCs/>
          <w:color w:val="000000" w:themeColor="text1"/>
        </w:rPr>
        <w:t>.</w:t>
      </w:r>
    </w:p>
    <w:p w14:paraId="35F7F77D" w14:textId="77777777" w:rsidR="00AA4D63" w:rsidRPr="00AA4D63" w:rsidRDefault="00AA4D63" w:rsidP="00AA4D63">
      <w:pPr>
        <w:pStyle w:val="ListParagraph"/>
        <w:rPr>
          <w:color w:val="000000" w:themeColor="text1"/>
        </w:rPr>
      </w:pPr>
    </w:p>
    <w:p w14:paraId="711E643A" w14:textId="68EB461E" w:rsidR="00AA4D63" w:rsidRPr="00AA4D63" w:rsidRDefault="00AA4D63" w:rsidP="00AA4D63">
      <w:pPr>
        <w:pStyle w:val="ListParagraph"/>
        <w:numPr>
          <w:ilvl w:val="0"/>
          <w:numId w:val="1"/>
        </w:numPr>
        <w:ind w:left="648"/>
        <w:rPr>
          <w:color w:val="000000" w:themeColor="text1"/>
        </w:rPr>
      </w:pPr>
      <w:r w:rsidRPr="0001197D">
        <w:rPr>
          <w:color w:val="000000" w:themeColor="text1"/>
        </w:rPr>
        <w:t>Proof of Insurance.</w:t>
      </w:r>
      <w:r w:rsidRPr="0001197D">
        <w:rPr>
          <w:b/>
          <w:bCs/>
          <w:color w:val="000000" w:themeColor="text1"/>
        </w:rPr>
        <w:t xml:space="preserve"> </w:t>
      </w:r>
      <w:r w:rsidRPr="0001197D">
        <w:rPr>
          <w:color w:val="000000" w:themeColor="text1"/>
        </w:rPr>
        <w:t xml:space="preserve"> The applicant shall submit evidence of ability to attain independent third-party insurance, cannot show self as being the insurer.</w:t>
      </w:r>
    </w:p>
    <w:p w14:paraId="12322A9D" w14:textId="77777777" w:rsidR="0001197D" w:rsidRPr="0001197D" w:rsidRDefault="0001197D" w:rsidP="0001197D">
      <w:pPr>
        <w:pStyle w:val="ListParagraph"/>
        <w:rPr>
          <w:color w:val="000000" w:themeColor="text1"/>
          <w:spacing w:val="-6"/>
        </w:rPr>
      </w:pPr>
    </w:p>
    <w:p w14:paraId="7383157D" w14:textId="77777777" w:rsidR="0001197D" w:rsidRDefault="0001197D" w:rsidP="0001197D">
      <w:pPr>
        <w:pStyle w:val="ListParagraph"/>
        <w:numPr>
          <w:ilvl w:val="0"/>
          <w:numId w:val="1"/>
        </w:numPr>
        <w:ind w:left="648"/>
        <w:rPr>
          <w:color w:val="000000" w:themeColor="text1"/>
        </w:rPr>
      </w:pPr>
      <w:r w:rsidRPr="0001197D">
        <w:rPr>
          <w:color w:val="000000" w:themeColor="text1"/>
          <w:spacing w:val="-6"/>
        </w:rPr>
        <w:t xml:space="preserve">The </w:t>
      </w:r>
      <w:r w:rsidRPr="0001197D">
        <w:rPr>
          <w:color w:val="000000" w:themeColor="text1"/>
          <w:spacing w:val="-8"/>
        </w:rPr>
        <w:t xml:space="preserve">applicant </w:t>
      </w:r>
      <w:r w:rsidRPr="0001197D">
        <w:rPr>
          <w:color w:val="000000" w:themeColor="text1"/>
          <w:spacing w:val="-6"/>
        </w:rPr>
        <w:t xml:space="preserve">has </w:t>
      </w:r>
      <w:r w:rsidRPr="0001197D">
        <w:rPr>
          <w:color w:val="000000" w:themeColor="text1"/>
          <w:spacing w:val="-8"/>
        </w:rPr>
        <w:t xml:space="preserve">demonstrated </w:t>
      </w:r>
      <w:r w:rsidRPr="0001197D">
        <w:rPr>
          <w:color w:val="000000" w:themeColor="text1"/>
          <w:spacing w:val="-7"/>
        </w:rPr>
        <w:t xml:space="preserve">that </w:t>
      </w:r>
      <w:r w:rsidRPr="0001197D">
        <w:rPr>
          <w:color w:val="000000" w:themeColor="text1"/>
          <w:spacing w:val="-5"/>
        </w:rPr>
        <w:t xml:space="preserve">the </w:t>
      </w:r>
      <w:r w:rsidRPr="0001197D">
        <w:rPr>
          <w:color w:val="000000" w:themeColor="text1"/>
          <w:spacing w:val="-7"/>
        </w:rPr>
        <w:t xml:space="preserve">proposed </w:t>
      </w:r>
      <w:r w:rsidRPr="0001197D">
        <w:rPr>
          <w:color w:val="000000" w:themeColor="text1"/>
          <w:spacing w:val="-8"/>
        </w:rPr>
        <w:t xml:space="preserve">project </w:t>
      </w:r>
      <w:r w:rsidRPr="0001197D">
        <w:rPr>
          <w:color w:val="000000" w:themeColor="text1"/>
          <w:spacing w:val="-7"/>
        </w:rPr>
        <w:t xml:space="preserve">will </w:t>
      </w:r>
      <w:r w:rsidRPr="0001197D">
        <w:rPr>
          <w:color w:val="000000" w:themeColor="text1"/>
          <w:spacing w:val="-4"/>
        </w:rPr>
        <w:t xml:space="preserve">be in </w:t>
      </w:r>
      <w:r w:rsidRPr="0001197D">
        <w:rPr>
          <w:color w:val="000000" w:themeColor="text1"/>
          <w:spacing w:val="-8"/>
        </w:rPr>
        <w:t xml:space="preserve">planned compliance </w:t>
      </w:r>
      <w:r w:rsidRPr="0001197D">
        <w:rPr>
          <w:color w:val="000000" w:themeColor="text1"/>
          <w:spacing w:val="-7"/>
        </w:rPr>
        <w:t>with</w:t>
      </w:r>
      <w:r w:rsidRPr="0001197D">
        <w:rPr>
          <w:color w:val="000000" w:themeColor="text1"/>
          <w:spacing w:val="-13"/>
        </w:rPr>
        <w:t xml:space="preserve"> </w:t>
      </w:r>
      <w:r w:rsidRPr="0001197D">
        <w:rPr>
          <w:color w:val="000000" w:themeColor="text1"/>
          <w:spacing w:val="-7"/>
        </w:rPr>
        <w:t>all</w:t>
      </w:r>
      <w:r w:rsidRPr="0001197D">
        <w:rPr>
          <w:color w:val="000000" w:themeColor="text1"/>
          <w:spacing w:val="-12"/>
        </w:rPr>
        <w:t xml:space="preserve"> </w:t>
      </w:r>
      <w:r w:rsidRPr="0001197D">
        <w:rPr>
          <w:color w:val="000000" w:themeColor="text1"/>
          <w:spacing w:val="-8"/>
        </w:rPr>
        <w:t>applicable</w:t>
      </w:r>
      <w:r w:rsidRPr="0001197D">
        <w:rPr>
          <w:color w:val="000000" w:themeColor="text1"/>
          <w:spacing w:val="-14"/>
        </w:rPr>
        <w:t xml:space="preserve"> </w:t>
      </w:r>
      <w:r w:rsidRPr="0001197D">
        <w:rPr>
          <w:color w:val="000000" w:themeColor="text1"/>
          <w:spacing w:val="-7"/>
        </w:rPr>
        <w:t>FCC</w:t>
      </w:r>
      <w:r w:rsidRPr="0001197D">
        <w:rPr>
          <w:color w:val="000000" w:themeColor="text1"/>
          <w:spacing w:val="-11"/>
        </w:rPr>
        <w:t xml:space="preserve"> </w:t>
      </w:r>
      <w:r w:rsidRPr="0001197D">
        <w:rPr>
          <w:color w:val="000000" w:themeColor="text1"/>
          <w:spacing w:val="-8"/>
        </w:rPr>
        <w:t>regulations</w:t>
      </w:r>
      <w:r w:rsidRPr="0001197D">
        <w:rPr>
          <w:color w:val="000000" w:themeColor="text1"/>
          <w:spacing w:val="-12"/>
        </w:rPr>
        <w:t xml:space="preserve"> </w:t>
      </w:r>
      <w:r w:rsidRPr="0001197D">
        <w:rPr>
          <w:color w:val="000000" w:themeColor="text1"/>
          <w:spacing w:val="-7"/>
        </w:rPr>
        <w:t>and</w:t>
      </w:r>
      <w:r w:rsidRPr="0001197D">
        <w:rPr>
          <w:color w:val="000000" w:themeColor="text1"/>
          <w:spacing w:val="-13"/>
        </w:rPr>
        <w:t xml:space="preserve"> </w:t>
      </w:r>
      <w:r w:rsidRPr="0001197D">
        <w:rPr>
          <w:color w:val="000000" w:themeColor="text1"/>
          <w:spacing w:val="-9"/>
        </w:rPr>
        <w:t>guidelines</w:t>
      </w:r>
      <w:r w:rsidRPr="0001197D">
        <w:rPr>
          <w:color w:val="000000" w:themeColor="text1"/>
          <w:spacing w:val="-12"/>
        </w:rPr>
        <w:t xml:space="preserve"> </w:t>
      </w:r>
      <w:r w:rsidRPr="0001197D">
        <w:rPr>
          <w:color w:val="000000" w:themeColor="text1"/>
          <w:spacing w:val="-6"/>
        </w:rPr>
        <w:t>for</w:t>
      </w:r>
      <w:r w:rsidRPr="0001197D">
        <w:rPr>
          <w:color w:val="000000" w:themeColor="text1"/>
          <w:spacing w:val="-18"/>
        </w:rPr>
        <w:t xml:space="preserve"> </w:t>
      </w:r>
      <w:r w:rsidRPr="0001197D">
        <w:rPr>
          <w:color w:val="000000" w:themeColor="text1"/>
          <w:spacing w:val="-7"/>
        </w:rPr>
        <w:t>human</w:t>
      </w:r>
      <w:r w:rsidRPr="0001197D">
        <w:rPr>
          <w:color w:val="000000" w:themeColor="text1"/>
          <w:spacing w:val="-14"/>
        </w:rPr>
        <w:t xml:space="preserve"> </w:t>
      </w:r>
      <w:r w:rsidRPr="0001197D">
        <w:rPr>
          <w:color w:val="000000" w:themeColor="text1"/>
          <w:spacing w:val="-8"/>
        </w:rPr>
        <w:t>exposure</w:t>
      </w:r>
      <w:r w:rsidRPr="0001197D">
        <w:rPr>
          <w:color w:val="000000" w:themeColor="text1"/>
          <w:spacing w:val="-14"/>
        </w:rPr>
        <w:t xml:space="preserve"> </w:t>
      </w:r>
      <w:r w:rsidRPr="0001197D">
        <w:rPr>
          <w:color w:val="000000" w:themeColor="text1"/>
          <w:spacing w:val="-5"/>
        </w:rPr>
        <w:t>to</w:t>
      </w:r>
      <w:r w:rsidRPr="0001197D">
        <w:rPr>
          <w:color w:val="000000" w:themeColor="text1"/>
          <w:spacing w:val="-15"/>
        </w:rPr>
        <w:t xml:space="preserve"> </w:t>
      </w:r>
      <w:r w:rsidRPr="0001197D">
        <w:rPr>
          <w:color w:val="000000" w:themeColor="text1"/>
          <w:spacing w:val="-4"/>
        </w:rPr>
        <w:t>RF</w:t>
      </w:r>
      <w:r w:rsidRPr="0001197D">
        <w:rPr>
          <w:color w:val="000000" w:themeColor="text1"/>
          <w:spacing w:val="-14"/>
        </w:rPr>
        <w:t xml:space="preserve"> </w:t>
      </w:r>
      <w:r w:rsidRPr="0001197D">
        <w:rPr>
          <w:color w:val="000000" w:themeColor="text1"/>
          <w:spacing w:val="-8"/>
        </w:rPr>
        <w:t>emissions.</w:t>
      </w:r>
      <w:r w:rsidRPr="0001197D">
        <w:rPr>
          <w:color w:val="000000" w:themeColor="text1"/>
        </w:rPr>
        <w:t xml:space="preserve"> The facilities will not expose people to radio frequency (RF) radiation in excess of FCC standards being that the power density cannot exceed 5% of the power density exposure limit applicable to that transmitter or facility or in a field strength that, when squared, exceeds 5% of the square of the electric or magnetic field strength limit applicable to that transmitter or facility (47 CFR 1.1310).</w:t>
      </w:r>
    </w:p>
    <w:p w14:paraId="06DC4E15" w14:textId="77777777" w:rsidR="0001197D" w:rsidRPr="0001197D" w:rsidRDefault="0001197D" w:rsidP="0001197D">
      <w:pPr>
        <w:pStyle w:val="ListParagraph"/>
        <w:rPr>
          <w:color w:val="000000" w:themeColor="text1"/>
        </w:rPr>
      </w:pPr>
    </w:p>
    <w:p w14:paraId="4993D18E" w14:textId="3AA81C35" w:rsidR="0001197D" w:rsidRDefault="0001197D" w:rsidP="0001197D">
      <w:pPr>
        <w:pStyle w:val="ListParagraph"/>
        <w:numPr>
          <w:ilvl w:val="0"/>
          <w:numId w:val="1"/>
        </w:numPr>
        <w:ind w:left="648"/>
        <w:rPr>
          <w:color w:val="000000" w:themeColor="text1"/>
        </w:rPr>
      </w:pPr>
      <w:r w:rsidRPr="0001197D">
        <w:rPr>
          <w:color w:val="000000" w:themeColor="text1"/>
        </w:rPr>
        <w:t xml:space="preserve">All RF values shall be shown, described and graphed out in actual real time data showing maximum peak measurements, not averages.  Report must show PEAK potential power density.  And the report must be generated by an independent third-party member </w:t>
      </w:r>
      <w:r w:rsidR="001A754F">
        <w:rPr>
          <w:color w:val="000000" w:themeColor="text1"/>
        </w:rPr>
        <w:t>written by</w:t>
      </w:r>
      <w:r w:rsidRPr="0001197D">
        <w:rPr>
          <w:color w:val="000000" w:themeColor="text1"/>
        </w:rPr>
        <w:t xml:space="preserve"> an RF engineer or professional building biologist or hygienist, and shall be </w:t>
      </w:r>
      <w:r w:rsidR="001A754F">
        <w:rPr>
          <w:color w:val="000000" w:themeColor="text1"/>
        </w:rPr>
        <w:t>chosen</w:t>
      </w:r>
      <w:r w:rsidRPr="0001197D">
        <w:rPr>
          <w:color w:val="000000" w:themeColor="text1"/>
        </w:rPr>
        <w:t xml:space="preserve"> by the city, and </w:t>
      </w:r>
      <w:r w:rsidR="001A754F">
        <w:rPr>
          <w:color w:val="000000" w:themeColor="text1"/>
        </w:rPr>
        <w:t>funded</w:t>
      </w:r>
      <w:r w:rsidRPr="0001197D">
        <w:rPr>
          <w:color w:val="000000" w:themeColor="text1"/>
        </w:rPr>
        <w:t xml:space="preserve"> by the applicant.  Payment for future RF reports shall be built into the lease for yearly monitoring of RF levels to ensure </w:t>
      </w:r>
      <w:r w:rsidR="001A754F">
        <w:rPr>
          <w:color w:val="000000" w:themeColor="text1"/>
        </w:rPr>
        <w:t xml:space="preserve">continued </w:t>
      </w:r>
      <w:r w:rsidRPr="0001197D">
        <w:rPr>
          <w:color w:val="000000" w:themeColor="text1"/>
        </w:rPr>
        <w:t>safety compliance.</w:t>
      </w:r>
    </w:p>
    <w:p w14:paraId="46DB0AC1" w14:textId="77777777" w:rsidR="0001197D" w:rsidRPr="0001197D" w:rsidRDefault="0001197D" w:rsidP="0001197D">
      <w:pPr>
        <w:pStyle w:val="ListParagraph"/>
        <w:rPr>
          <w:color w:val="000000" w:themeColor="text1"/>
        </w:rPr>
      </w:pPr>
    </w:p>
    <w:p w14:paraId="20B6006C" w14:textId="476BF21F" w:rsidR="0001197D" w:rsidRDefault="0001197D" w:rsidP="0001197D">
      <w:pPr>
        <w:pStyle w:val="ListParagraph"/>
        <w:numPr>
          <w:ilvl w:val="0"/>
          <w:numId w:val="1"/>
        </w:numPr>
        <w:ind w:left="648"/>
        <w:rPr>
          <w:color w:val="000000" w:themeColor="text1"/>
        </w:rPr>
      </w:pPr>
      <w:r w:rsidRPr="0001197D">
        <w:rPr>
          <w:color w:val="000000" w:themeColor="text1"/>
        </w:rPr>
        <w:t>Generate a Cumulative Impact RF Analysis. The applicant must submit a cumulative</w:t>
      </w:r>
      <w:r w:rsidRPr="0001197D">
        <w:rPr>
          <w:color w:val="000000" w:themeColor="text1"/>
          <w:spacing w:val="-14"/>
        </w:rPr>
        <w:t xml:space="preserve"> </w:t>
      </w:r>
      <w:r w:rsidRPr="0001197D">
        <w:rPr>
          <w:color w:val="000000" w:themeColor="text1"/>
        </w:rPr>
        <w:t>impact</w:t>
      </w:r>
      <w:r w:rsidRPr="0001197D">
        <w:rPr>
          <w:color w:val="000000" w:themeColor="text1"/>
          <w:spacing w:val="-12"/>
        </w:rPr>
        <w:t xml:space="preserve"> </w:t>
      </w:r>
      <w:r w:rsidRPr="0001197D">
        <w:rPr>
          <w:color w:val="000000" w:themeColor="text1"/>
        </w:rPr>
        <w:t>analysis</w:t>
      </w:r>
      <w:r w:rsidRPr="0001197D">
        <w:rPr>
          <w:color w:val="000000" w:themeColor="text1"/>
          <w:spacing w:val="-10"/>
        </w:rPr>
        <w:t xml:space="preserve"> </w:t>
      </w:r>
      <w:r w:rsidRPr="0001197D">
        <w:rPr>
          <w:color w:val="000000" w:themeColor="text1"/>
        </w:rPr>
        <w:t>for</w:t>
      </w:r>
      <w:r w:rsidRPr="0001197D">
        <w:rPr>
          <w:color w:val="000000" w:themeColor="text1"/>
          <w:spacing w:val="-12"/>
        </w:rPr>
        <w:t xml:space="preserve"> </w:t>
      </w:r>
      <w:r w:rsidRPr="0001197D">
        <w:rPr>
          <w:color w:val="000000" w:themeColor="text1"/>
        </w:rPr>
        <w:t>the</w:t>
      </w:r>
      <w:r w:rsidRPr="0001197D">
        <w:rPr>
          <w:color w:val="000000" w:themeColor="text1"/>
          <w:spacing w:val="-13"/>
        </w:rPr>
        <w:t xml:space="preserve"> </w:t>
      </w:r>
      <w:r w:rsidRPr="0001197D">
        <w:rPr>
          <w:color w:val="000000" w:themeColor="text1"/>
        </w:rPr>
        <w:t>proposed</w:t>
      </w:r>
      <w:r w:rsidRPr="0001197D">
        <w:rPr>
          <w:color w:val="000000" w:themeColor="text1"/>
          <w:spacing w:val="-13"/>
        </w:rPr>
        <w:t xml:space="preserve"> </w:t>
      </w:r>
      <w:r w:rsidRPr="0001197D">
        <w:rPr>
          <w:color w:val="000000" w:themeColor="text1"/>
        </w:rPr>
        <w:t>facility</w:t>
      </w:r>
      <w:r w:rsidRPr="0001197D">
        <w:rPr>
          <w:color w:val="000000" w:themeColor="text1"/>
          <w:spacing w:val="-18"/>
        </w:rPr>
        <w:t xml:space="preserve"> </w:t>
      </w:r>
      <w:r w:rsidRPr="0001197D">
        <w:rPr>
          <w:color w:val="000000" w:themeColor="text1"/>
        </w:rPr>
        <w:t>and</w:t>
      </w:r>
      <w:r w:rsidRPr="0001197D">
        <w:rPr>
          <w:color w:val="000000" w:themeColor="text1"/>
          <w:spacing w:val="-14"/>
        </w:rPr>
        <w:t xml:space="preserve"> </w:t>
      </w:r>
      <w:r w:rsidRPr="0001197D">
        <w:rPr>
          <w:color w:val="000000" w:themeColor="text1"/>
        </w:rPr>
        <w:t>other</w:t>
      </w:r>
      <w:r w:rsidRPr="0001197D">
        <w:rPr>
          <w:color w:val="000000" w:themeColor="text1"/>
          <w:spacing w:val="-11"/>
        </w:rPr>
        <w:t xml:space="preserve"> </w:t>
      </w:r>
      <w:r w:rsidRPr="0001197D">
        <w:rPr>
          <w:color w:val="000000" w:themeColor="text1"/>
        </w:rPr>
        <w:t>WTFs</w:t>
      </w:r>
      <w:r w:rsidRPr="0001197D">
        <w:rPr>
          <w:color w:val="000000" w:themeColor="text1"/>
          <w:spacing w:val="-12"/>
        </w:rPr>
        <w:t xml:space="preserve"> </w:t>
      </w:r>
      <w:r w:rsidRPr="0001197D">
        <w:rPr>
          <w:color w:val="000000" w:themeColor="text1"/>
        </w:rPr>
        <w:t>on</w:t>
      </w:r>
      <w:r w:rsidRPr="0001197D">
        <w:rPr>
          <w:color w:val="000000" w:themeColor="text1"/>
          <w:spacing w:val="-13"/>
        </w:rPr>
        <w:t xml:space="preserve"> </w:t>
      </w:r>
      <w:r w:rsidRPr="0001197D">
        <w:rPr>
          <w:color w:val="000000" w:themeColor="text1"/>
        </w:rPr>
        <w:t>the</w:t>
      </w:r>
      <w:r w:rsidRPr="0001197D">
        <w:rPr>
          <w:color w:val="000000" w:themeColor="text1"/>
          <w:spacing w:val="-9"/>
        </w:rPr>
        <w:t xml:space="preserve"> </w:t>
      </w:r>
      <w:r w:rsidRPr="0001197D">
        <w:rPr>
          <w:color w:val="000000" w:themeColor="text1"/>
        </w:rPr>
        <w:t xml:space="preserve">project site within </w:t>
      </w:r>
      <w:r w:rsidR="001A754F">
        <w:rPr>
          <w:color w:val="000000" w:themeColor="text1"/>
        </w:rPr>
        <w:t xml:space="preserve">a radius of </w:t>
      </w:r>
      <w:r w:rsidRPr="0001197D">
        <w:rPr>
          <w:color w:val="000000" w:themeColor="text1"/>
        </w:rPr>
        <w:t>one thousand three hundred feet of the proposed WTF site. The analysis shall include all existing and proposed (application submitted to the community development and sustainability department) WTFs on or near the site, dimensions of all antennas and support equipment on or near the site, power rating for all existing and proposed back-up equipment, and a report estimating the ambient RF fields and maximum potential cumulative electromagnetic radiation at, and surrounding, the proposed site that would result if the proposed WTF were operating at full</w:t>
      </w:r>
      <w:r w:rsidRPr="0001197D">
        <w:rPr>
          <w:color w:val="000000" w:themeColor="text1"/>
          <w:spacing w:val="-1"/>
        </w:rPr>
        <w:t xml:space="preserve"> </w:t>
      </w:r>
      <w:r w:rsidRPr="0001197D">
        <w:rPr>
          <w:color w:val="000000" w:themeColor="text1"/>
        </w:rPr>
        <w:t>buildout.</w:t>
      </w:r>
    </w:p>
    <w:p w14:paraId="013AF30C" w14:textId="77777777" w:rsidR="0001197D" w:rsidRPr="0001197D" w:rsidRDefault="0001197D" w:rsidP="0001197D">
      <w:pPr>
        <w:pStyle w:val="ListParagraph"/>
        <w:rPr>
          <w:color w:val="000000" w:themeColor="text1"/>
        </w:rPr>
      </w:pPr>
    </w:p>
    <w:p w14:paraId="585E4FFF" w14:textId="6B5C9704" w:rsidR="0001197D" w:rsidRDefault="0001197D" w:rsidP="0001197D">
      <w:pPr>
        <w:pStyle w:val="ListParagraph"/>
        <w:numPr>
          <w:ilvl w:val="0"/>
          <w:numId w:val="1"/>
        </w:numPr>
        <w:ind w:left="648"/>
        <w:rPr>
          <w:color w:val="000000" w:themeColor="text1"/>
        </w:rPr>
      </w:pPr>
      <w:r w:rsidRPr="0001197D">
        <w:rPr>
          <w:color w:val="000000" w:themeColor="text1"/>
        </w:rPr>
        <w:t>Facilitate p</w:t>
      </w:r>
      <w:r w:rsidR="003B7AFC" w:rsidRPr="0001197D">
        <w:rPr>
          <w:color w:val="000000" w:themeColor="text1"/>
        </w:rPr>
        <w:t xml:space="preserve">ublic hearings on proposed conditionally permitted </w:t>
      </w:r>
      <w:proofErr w:type="spellStart"/>
      <w:r w:rsidRPr="0001197D">
        <w:rPr>
          <w:color w:val="000000" w:themeColor="text1"/>
        </w:rPr>
        <w:t>sWTF</w:t>
      </w:r>
      <w:proofErr w:type="spellEnd"/>
      <w:r w:rsidRPr="0001197D">
        <w:rPr>
          <w:color w:val="000000" w:themeColor="text1"/>
        </w:rPr>
        <w:t xml:space="preserve"> and </w:t>
      </w:r>
      <w:r w:rsidR="003B7AFC" w:rsidRPr="0001197D">
        <w:rPr>
          <w:color w:val="000000" w:themeColor="text1"/>
        </w:rPr>
        <w:t xml:space="preserve">WTF </w:t>
      </w:r>
      <w:r w:rsidRPr="0001197D">
        <w:rPr>
          <w:color w:val="000000" w:themeColor="text1"/>
        </w:rPr>
        <w:t>and</w:t>
      </w:r>
      <w:r w:rsidR="003B7AFC" w:rsidRPr="0001197D">
        <w:rPr>
          <w:color w:val="000000" w:themeColor="text1"/>
        </w:rPr>
        <w:t xml:space="preserve"> </w:t>
      </w:r>
      <w:r w:rsidRPr="0001197D">
        <w:rPr>
          <w:color w:val="000000" w:themeColor="text1"/>
        </w:rPr>
        <w:t>follow in conduct</w:t>
      </w:r>
      <w:r w:rsidR="003B7AFC" w:rsidRPr="0001197D">
        <w:rPr>
          <w:color w:val="000000" w:themeColor="text1"/>
        </w:rPr>
        <w:t xml:space="preserve"> acco</w:t>
      </w:r>
      <w:r w:rsidRPr="0001197D">
        <w:rPr>
          <w:color w:val="000000" w:themeColor="text1"/>
        </w:rPr>
        <w:t>rding to</w:t>
      </w:r>
      <w:r w:rsidR="003B7AFC" w:rsidRPr="0001197D">
        <w:rPr>
          <w:color w:val="000000" w:themeColor="text1"/>
        </w:rPr>
        <w:t xml:space="preserve"> Sections 40.30.070 of the </w:t>
      </w:r>
      <w:proofErr w:type="spellStart"/>
      <w:r w:rsidR="000260FD">
        <w:rPr>
          <w:color w:val="000000" w:themeColor="text1"/>
        </w:rPr>
        <w:t>xxxxx</w:t>
      </w:r>
      <w:proofErr w:type="spellEnd"/>
      <w:r w:rsidR="003B7AFC" w:rsidRPr="0001197D">
        <w:rPr>
          <w:color w:val="000000" w:themeColor="text1"/>
        </w:rPr>
        <w:t xml:space="preserve"> Municipal Code.</w:t>
      </w:r>
      <w:r w:rsidRPr="0001197D">
        <w:rPr>
          <w:color w:val="000000" w:themeColor="text1"/>
        </w:rPr>
        <w:t xml:space="preserve">  Also add in “Noticing Radius” to</w:t>
      </w:r>
      <w:r w:rsidR="003B7AFC" w:rsidRPr="0001197D">
        <w:rPr>
          <w:color w:val="000000" w:themeColor="text1"/>
        </w:rPr>
        <w:t xml:space="preserve"> </w:t>
      </w:r>
      <w:r w:rsidRPr="0001197D">
        <w:rPr>
          <w:color w:val="000000" w:themeColor="text1"/>
        </w:rPr>
        <w:t>notify all residents living within a 500’ radius of the</w:t>
      </w:r>
      <w:r w:rsidR="003B7AFC" w:rsidRPr="0001197D">
        <w:rPr>
          <w:color w:val="000000" w:themeColor="text1"/>
        </w:rPr>
        <w:t xml:space="preserve"> proposed </w:t>
      </w:r>
      <w:proofErr w:type="spellStart"/>
      <w:r w:rsidRPr="0001197D">
        <w:rPr>
          <w:color w:val="000000" w:themeColor="text1"/>
        </w:rPr>
        <w:t>s</w:t>
      </w:r>
      <w:r w:rsidR="003B7AFC" w:rsidRPr="0001197D">
        <w:rPr>
          <w:color w:val="000000" w:themeColor="text1"/>
        </w:rPr>
        <w:t>WTF</w:t>
      </w:r>
      <w:proofErr w:type="spellEnd"/>
      <w:r w:rsidR="003B7AFC" w:rsidRPr="0001197D">
        <w:rPr>
          <w:color w:val="000000" w:themeColor="text1"/>
        </w:rPr>
        <w:t>.</w:t>
      </w:r>
      <w:r w:rsidRPr="0001197D">
        <w:rPr>
          <w:color w:val="000000" w:themeColor="text1"/>
        </w:rPr>
        <w:t xml:space="preserve"> </w:t>
      </w:r>
      <w:r w:rsidR="003B7AFC" w:rsidRPr="0001197D">
        <w:rPr>
          <w:color w:val="000000" w:themeColor="text1"/>
        </w:rPr>
        <w:t xml:space="preserve"> The noticing radius shall be measured from the outer boundary of the subject parcel, or, for those facilities in the PROW, from the outer boundary of the closest parcel adjacent to the subject PROW site.</w:t>
      </w:r>
    </w:p>
    <w:p w14:paraId="4F2A9EB7" w14:textId="77777777" w:rsidR="0001197D" w:rsidRPr="00AA4D63" w:rsidRDefault="0001197D" w:rsidP="00AA4D63">
      <w:pPr>
        <w:rPr>
          <w:color w:val="000000" w:themeColor="text1"/>
        </w:rPr>
      </w:pPr>
    </w:p>
    <w:p w14:paraId="7C711F66" w14:textId="77777777" w:rsidR="0001197D" w:rsidRPr="0001197D" w:rsidRDefault="003B7AFC" w:rsidP="0001197D">
      <w:pPr>
        <w:pStyle w:val="ListParagraph"/>
        <w:numPr>
          <w:ilvl w:val="0"/>
          <w:numId w:val="1"/>
        </w:numPr>
        <w:ind w:left="648"/>
        <w:rPr>
          <w:color w:val="000000" w:themeColor="text1"/>
        </w:rPr>
      </w:pPr>
      <w:r w:rsidRPr="0001197D">
        <w:rPr>
          <w:color w:val="000000" w:themeColor="text1"/>
        </w:rPr>
        <w:t>An encroachment permit must be obtained for any work in the public right-</w:t>
      </w:r>
      <w:r>
        <w:t>of-way.</w:t>
      </w:r>
    </w:p>
    <w:p w14:paraId="1ACE8F55" w14:textId="77777777" w:rsidR="0001197D" w:rsidRPr="0001197D" w:rsidRDefault="0001197D" w:rsidP="0001197D">
      <w:pPr>
        <w:pStyle w:val="ListParagraph"/>
        <w:rPr>
          <w:color w:val="000000" w:themeColor="text1"/>
        </w:rPr>
      </w:pPr>
    </w:p>
    <w:p w14:paraId="0823E27A" w14:textId="33270ED7" w:rsidR="003403E1" w:rsidRPr="0001197D" w:rsidRDefault="003403E1" w:rsidP="0001197D">
      <w:pPr>
        <w:pStyle w:val="ListParagraph"/>
        <w:numPr>
          <w:ilvl w:val="0"/>
          <w:numId w:val="1"/>
        </w:numPr>
        <w:ind w:left="648"/>
        <w:rPr>
          <w:color w:val="000000" w:themeColor="text1"/>
        </w:rPr>
      </w:pPr>
      <w:r w:rsidRPr="0001197D">
        <w:rPr>
          <w:color w:val="000000" w:themeColor="text1"/>
        </w:rPr>
        <w:t xml:space="preserve">Police power must be maintained to enforce the quiet enjoyment of streets and ability to protect city residents their health and safety regarding </w:t>
      </w:r>
      <w:proofErr w:type="spellStart"/>
      <w:r w:rsidRPr="0001197D">
        <w:rPr>
          <w:color w:val="000000" w:themeColor="text1"/>
        </w:rPr>
        <w:t>sWTF</w:t>
      </w:r>
      <w:proofErr w:type="spellEnd"/>
      <w:r w:rsidRPr="0001197D">
        <w:rPr>
          <w:color w:val="000000" w:themeColor="text1"/>
        </w:rPr>
        <w:t xml:space="preserve"> whether it be harm and endangerment from RF exposures, high voltage induced fires, undue surveillance, data harvesting, live wires and/or electrical arcs but not limited to these.</w:t>
      </w:r>
    </w:p>
    <w:p w14:paraId="6F474B60" w14:textId="77777777" w:rsidR="003403E1" w:rsidRPr="003403E1" w:rsidRDefault="003403E1" w:rsidP="003403E1">
      <w:pPr>
        <w:ind w:left="288"/>
        <w:rPr>
          <w:color w:val="000000" w:themeColor="text1"/>
        </w:rPr>
      </w:pPr>
    </w:p>
    <w:p w14:paraId="43FBDCE7" w14:textId="77777777" w:rsidR="00221104" w:rsidRDefault="00221104" w:rsidP="003B7AFC">
      <w:pPr>
        <w:rPr>
          <w:b/>
          <w:bCs/>
          <w:color w:val="000000" w:themeColor="text1"/>
          <w:u w:val="single"/>
        </w:rPr>
      </w:pPr>
    </w:p>
    <w:p w14:paraId="16201829" w14:textId="151E5A47" w:rsidR="003B7AFC" w:rsidRPr="00166CC9" w:rsidRDefault="003403E1" w:rsidP="003B7AFC">
      <w:pPr>
        <w:rPr>
          <w:b/>
          <w:bCs/>
          <w:color w:val="000000" w:themeColor="text1"/>
          <w:u w:val="single"/>
        </w:rPr>
      </w:pPr>
      <w:r>
        <w:rPr>
          <w:b/>
          <w:bCs/>
          <w:color w:val="000000" w:themeColor="text1"/>
          <w:u w:val="single"/>
        </w:rPr>
        <w:lastRenderedPageBreak/>
        <w:t xml:space="preserve">10 Points of </w:t>
      </w:r>
      <w:r w:rsidR="003B7AFC" w:rsidRPr="00166CC9">
        <w:rPr>
          <w:b/>
          <w:bCs/>
          <w:color w:val="000000" w:themeColor="text1"/>
          <w:u w:val="single"/>
        </w:rPr>
        <w:t>Statements for Elimination:</w:t>
      </w:r>
    </w:p>
    <w:p w14:paraId="1B0D0020" w14:textId="5CCA93DB" w:rsidR="003B7AFC" w:rsidRDefault="003B7AFC" w:rsidP="003B7AFC">
      <w:pPr>
        <w:rPr>
          <w:color w:val="000000" w:themeColor="text1"/>
        </w:rPr>
      </w:pPr>
    </w:p>
    <w:p w14:paraId="6297164B" w14:textId="37CAF03F" w:rsidR="003B7AFC" w:rsidRDefault="003B7AFC" w:rsidP="003B7AFC">
      <w:pPr>
        <w:pStyle w:val="ListParagraph"/>
        <w:numPr>
          <w:ilvl w:val="0"/>
          <w:numId w:val="9"/>
        </w:numPr>
        <w:rPr>
          <w:color w:val="000000" w:themeColor="text1"/>
        </w:rPr>
      </w:pPr>
      <w:r>
        <w:rPr>
          <w:color w:val="000000" w:themeColor="text1"/>
        </w:rPr>
        <w:t xml:space="preserve">Eliminate “preferential” locations of WTF and </w:t>
      </w:r>
      <w:proofErr w:type="spellStart"/>
      <w:r>
        <w:rPr>
          <w:color w:val="000000" w:themeColor="text1"/>
        </w:rPr>
        <w:t>sWTF</w:t>
      </w:r>
      <w:proofErr w:type="spellEnd"/>
      <w:r>
        <w:rPr>
          <w:color w:val="000000" w:themeColor="text1"/>
        </w:rPr>
        <w:t xml:space="preserve"> to </w:t>
      </w:r>
      <w:r w:rsidR="00EA4EF1">
        <w:rPr>
          <w:color w:val="000000" w:themeColor="text1"/>
        </w:rPr>
        <w:t xml:space="preserve">stating </w:t>
      </w:r>
      <w:r>
        <w:rPr>
          <w:color w:val="000000" w:themeColor="text1"/>
        </w:rPr>
        <w:t xml:space="preserve">definitive setback distances as </w:t>
      </w:r>
      <w:r w:rsidR="00EA4EF1">
        <w:rPr>
          <w:color w:val="000000" w:themeColor="text1"/>
        </w:rPr>
        <w:t>described</w:t>
      </w:r>
      <w:r>
        <w:rPr>
          <w:color w:val="000000" w:themeColor="text1"/>
        </w:rPr>
        <w:t xml:space="preserve"> in the preceding </w:t>
      </w:r>
      <w:r w:rsidR="00EA4EF1">
        <w:rPr>
          <w:color w:val="000000" w:themeColor="text1"/>
        </w:rPr>
        <w:t>1</w:t>
      </w:r>
      <w:r w:rsidR="0001197D">
        <w:rPr>
          <w:color w:val="000000" w:themeColor="text1"/>
        </w:rPr>
        <w:t>5</w:t>
      </w:r>
      <w:r w:rsidR="00EA4EF1">
        <w:rPr>
          <w:color w:val="000000" w:themeColor="text1"/>
        </w:rPr>
        <w:t xml:space="preserve"> </w:t>
      </w:r>
      <w:r w:rsidR="0001197D">
        <w:rPr>
          <w:color w:val="000000" w:themeColor="text1"/>
        </w:rPr>
        <w:t>p</w:t>
      </w:r>
      <w:r w:rsidR="00EA4EF1">
        <w:rPr>
          <w:color w:val="000000" w:themeColor="text1"/>
        </w:rPr>
        <w:t xml:space="preserve">oints </w:t>
      </w:r>
      <w:r>
        <w:rPr>
          <w:color w:val="000000" w:themeColor="text1"/>
        </w:rPr>
        <w:t>list.</w:t>
      </w:r>
    </w:p>
    <w:p w14:paraId="38DA61D8" w14:textId="77777777" w:rsidR="003B7AFC" w:rsidRPr="003B7AFC" w:rsidRDefault="003B7AFC" w:rsidP="003B7AFC">
      <w:pPr>
        <w:ind w:left="360"/>
        <w:rPr>
          <w:color w:val="000000" w:themeColor="text1"/>
        </w:rPr>
      </w:pPr>
    </w:p>
    <w:p w14:paraId="0F1A449E" w14:textId="759D2FC5" w:rsidR="003B7AFC" w:rsidRDefault="003B7AFC" w:rsidP="003B7AFC">
      <w:pPr>
        <w:pStyle w:val="ListParagraph"/>
        <w:numPr>
          <w:ilvl w:val="0"/>
          <w:numId w:val="9"/>
        </w:numPr>
        <w:rPr>
          <w:color w:val="000000" w:themeColor="text1"/>
        </w:rPr>
      </w:pPr>
      <w:r>
        <w:rPr>
          <w:color w:val="000000" w:themeColor="text1"/>
        </w:rPr>
        <w:t xml:space="preserve">Eliminate “Consequences of Non-Compliance” regarding Article 40.29 of the </w:t>
      </w:r>
      <w:proofErr w:type="spellStart"/>
      <w:r w:rsidR="000260FD">
        <w:rPr>
          <w:color w:val="000000" w:themeColor="text1"/>
        </w:rPr>
        <w:t>xxxxx</w:t>
      </w:r>
      <w:proofErr w:type="spellEnd"/>
      <w:r>
        <w:rPr>
          <w:color w:val="000000" w:themeColor="text1"/>
        </w:rPr>
        <w:t xml:space="preserve"> Municipal Code as portions of the Report and Order has been overturned and deemed “capricious and arbitrary” by the D.C. Court of Appeals. </w:t>
      </w:r>
    </w:p>
    <w:p w14:paraId="0E90C0B6" w14:textId="77777777" w:rsidR="003B7AFC" w:rsidRPr="003B7AFC" w:rsidRDefault="003B7AFC" w:rsidP="003B7AFC">
      <w:pPr>
        <w:pStyle w:val="ListParagraph"/>
        <w:rPr>
          <w:color w:val="000000" w:themeColor="text1"/>
        </w:rPr>
      </w:pPr>
    </w:p>
    <w:p w14:paraId="6BD968A7" w14:textId="230B554E" w:rsidR="003B7AFC" w:rsidRDefault="003B7AFC" w:rsidP="003B7AFC">
      <w:pPr>
        <w:pStyle w:val="ListParagraph"/>
        <w:numPr>
          <w:ilvl w:val="0"/>
          <w:numId w:val="9"/>
        </w:numPr>
        <w:rPr>
          <w:color w:val="000000" w:themeColor="text1"/>
        </w:rPr>
      </w:pPr>
      <w:r>
        <w:rPr>
          <w:color w:val="000000" w:themeColor="text1"/>
        </w:rPr>
        <w:t>Eliminate “The Master License Agreement” (MLA) as again, many crucial areas of the FCC Report and Order has been overturned and deemed “capricious and arbitrary” by the D.C. Court of Appeals.</w:t>
      </w:r>
    </w:p>
    <w:p w14:paraId="61839190" w14:textId="77777777" w:rsidR="003B7AFC" w:rsidRPr="003B7AFC" w:rsidRDefault="003B7AFC" w:rsidP="003B7AFC">
      <w:pPr>
        <w:pStyle w:val="ListParagraph"/>
        <w:rPr>
          <w:color w:val="000000" w:themeColor="text1"/>
        </w:rPr>
      </w:pPr>
    </w:p>
    <w:p w14:paraId="57DD57F1" w14:textId="1481BF40" w:rsidR="003B7AFC" w:rsidRDefault="003B7AFC" w:rsidP="003B7AFC">
      <w:pPr>
        <w:pStyle w:val="ListParagraph"/>
        <w:numPr>
          <w:ilvl w:val="0"/>
          <w:numId w:val="9"/>
        </w:numPr>
        <w:rPr>
          <w:color w:val="000000" w:themeColor="text1"/>
        </w:rPr>
      </w:pPr>
      <w:r>
        <w:rPr>
          <w:color w:val="000000" w:themeColor="text1"/>
        </w:rPr>
        <w:t>Eliminate anything that has to do with the FCC Report and Order as it no longer holds weight in the decision making for the City on</w:t>
      </w:r>
      <w:r w:rsidR="000630AA">
        <w:rPr>
          <w:color w:val="000000" w:themeColor="text1"/>
        </w:rPr>
        <w:t xml:space="preserve"> placement, modification, operations </w:t>
      </w:r>
      <w:proofErr w:type="gramStart"/>
      <w:r w:rsidR="000630AA">
        <w:rPr>
          <w:color w:val="000000" w:themeColor="text1"/>
        </w:rPr>
        <w:t xml:space="preserve">of </w:t>
      </w:r>
      <w:r>
        <w:rPr>
          <w:color w:val="000000" w:themeColor="text1"/>
        </w:rPr>
        <w:t xml:space="preserve"> WTF</w:t>
      </w:r>
      <w:proofErr w:type="gramEnd"/>
      <w:r>
        <w:rPr>
          <w:color w:val="000000" w:themeColor="text1"/>
        </w:rPr>
        <w:t xml:space="preserve"> and </w:t>
      </w:r>
      <w:proofErr w:type="spellStart"/>
      <w:r>
        <w:rPr>
          <w:color w:val="000000" w:themeColor="text1"/>
        </w:rPr>
        <w:t>sWTF</w:t>
      </w:r>
      <w:proofErr w:type="spellEnd"/>
      <w:r>
        <w:rPr>
          <w:color w:val="000000" w:themeColor="text1"/>
        </w:rPr>
        <w:t>.  It actually never did, but the D.C. court case and final judgement makes definitive this motion.</w:t>
      </w:r>
    </w:p>
    <w:p w14:paraId="64272EB5" w14:textId="77777777" w:rsidR="003B7AFC" w:rsidRPr="003B7AFC" w:rsidRDefault="003B7AFC" w:rsidP="003B7AFC">
      <w:pPr>
        <w:pStyle w:val="ListParagraph"/>
        <w:rPr>
          <w:color w:val="000000" w:themeColor="text1"/>
        </w:rPr>
      </w:pPr>
    </w:p>
    <w:p w14:paraId="4DB2EC7C" w14:textId="40FAE990" w:rsidR="003B7AFC" w:rsidRDefault="003B7AFC" w:rsidP="003B7AFC">
      <w:pPr>
        <w:pStyle w:val="ListParagraph"/>
        <w:numPr>
          <w:ilvl w:val="0"/>
          <w:numId w:val="9"/>
        </w:numPr>
        <w:rPr>
          <w:color w:val="000000" w:themeColor="text1"/>
        </w:rPr>
      </w:pPr>
      <w:r>
        <w:rPr>
          <w:color w:val="000000" w:themeColor="text1"/>
        </w:rPr>
        <w:t>Eliminate the “Conclusion” section regarding the FCC Report and Order placing limitations on the City and the MLA, which no longer holds true for reasons stated above.</w:t>
      </w:r>
    </w:p>
    <w:p w14:paraId="22852A81" w14:textId="77777777" w:rsidR="003B7AFC" w:rsidRPr="003B7AFC" w:rsidRDefault="003B7AFC" w:rsidP="003B7AFC">
      <w:pPr>
        <w:pStyle w:val="ListParagraph"/>
        <w:rPr>
          <w:color w:val="000000" w:themeColor="text1"/>
        </w:rPr>
      </w:pPr>
    </w:p>
    <w:p w14:paraId="12E82826" w14:textId="09C4A3D8" w:rsidR="000630AA" w:rsidRDefault="000630AA" w:rsidP="000630AA">
      <w:pPr>
        <w:pStyle w:val="ListParagraph"/>
        <w:numPr>
          <w:ilvl w:val="0"/>
          <w:numId w:val="9"/>
        </w:numPr>
        <w:rPr>
          <w:color w:val="000000" w:themeColor="text1"/>
        </w:rPr>
      </w:pPr>
      <w:r w:rsidRPr="000630AA">
        <w:rPr>
          <w:color w:val="000000" w:themeColor="text1"/>
        </w:rPr>
        <w:t xml:space="preserve">Eliminate the “Project Analysis” section because it states eliminating discretionary authority and replacing it with ministerial authority by city staff and legal counsel only.  This is not a legal process nor a fulfillment of required public due process, not to mention the same reasons as stated </w:t>
      </w:r>
      <w:r>
        <w:rPr>
          <w:color w:val="000000" w:themeColor="text1"/>
        </w:rPr>
        <w:t>above.</w:t>
      </w:r>
    </w:p>
    <w:p w14:paraId="57CE50BC" w14:textId="77777777" w:rsidR="000630AA" w:rsidRPr="000630AA" w:rsidRDefault="000630AA" w:rsidP="000630AA">
      <w:pPr>
        <w:rPr>
          <w:color w:val="000000" w:themeColor="text1"/>
        </w:rPr>
      </w:pPr>
    </w:p>
    <w:p w14:paraId="31D9FDBE" w14:textId="48D978A5" w:rsidR="000630AA" w:rsidRDefault="000630AA" w:rsidP="003B7AFC">
      <w:pPr>
        <w:pStyle w:val="ListParagraph"/>
        <w:numPr>
          <w:ilvl w:val="0"/>
          <w:numId w:val="9"/>
        </w:numPr>
        <w:rPr>
          <w:color w:val="000000" w:themeColor="text1"/>
        </w:rPr>
      </w:pPr>
      <w:r>
        <w:rPr>
          <w:color w:val="000000" w:themeColor="text1"/>
        </w:rPr>
        <w:t xml:space="preserve">Eliminate “Environmental Determination” because that is no longer true.  The deployment of the FCC’s 800,000 plus </w:t>
      </w:r>
      <w:proofErr w:type="spellStart"/>
      <w:r>
        <w:rPr>
          <w:color w:val="000000" w:themeColor="text1"/>
        </w:rPr>
        <w:t>sWTF</w:t>
      </w:r>
      <w:proofErr w:type="spellEnd"/>
      <w:r>
        <w:rPr>
          <w:color w:val="000000" w:themeColor="text1"/>
        </w:rPr>
        <w:t xml:space="preserve"> has been deemed an environmentally significant federal undertaking requiring NEPA review.</w:t>
      </w:r>
    </w:p>
    <w:p w14:paraId="53597092" w14:textId="77777777" w:rsidR="000630AA" w:rsidRPr="000630AA" w:rsidRDefault="000630AA" w:rsidP="000630AA">
      <w:pPr>
        <w:pStyle w:val="ListParagraph"/>
        <w:rPr>
          <w:color w:val="000000" w:themeColor="text1"/>
        </w:rPr>
      </w:pPr>
    </w:p>
    <w:p w14:paraId="59F62795" w14:textId="16BCC043" w:rsidR="000630AA" w:rsidRPr="000630AA" w:rsidRDefault="000630AA" w:rsidP="000630AA">
      <w:pPr>
        <w:pStyle w:val="ListParagraph"/>
        <w:numPr>
          <w:ilvl w:val="0"/>
          <w:numId w:val="9"/>
        </w:numPr>
        <w:rPr>
          <w:color w:val="000000" w:themeColor="text1"/>
        </w:rPr>
      </w:pPr>
      <w:r>
        <w:rPr>
          <w:color w:val="000000" w:themeColor="text1"/>
        </w:rPr>
        <w:t>Eliminate all areas which states that environmental effects are deemed insignificant and exempt from NEPA and CEQA regulations.  That is no longer the case for reasons stated above.</w:t>
      </w:r>
    </w:p>
    <w:p w14:paraId="3D4C3145" w14:textId="77777777" w:rsidR="000630AA" w:rsidRPr="000630AA" w:rsidRDefault="000630AA" w:rsidP="000630AA">
      <w:pPr>
        <w:pStyle w:val="ListParagraph"/>
        <w:rPr>
          <w:color w:val="000000" w:themeColor="text1"/>
        </w:rPr>
      </w:pPr>
    </w:p>
    <w:p w14:paraId="63D681C8" w14:textId="5E969E84" w:rsidR="000630AA" w:rsidRDefault="000630AA" w:rsidP="000630AA">
      <w:pPr>
        <w:pStyle w:val="ListParagraph"/>
        <w:numPr>
          <w:ilvl w:val="0"/>
          <w:numId w:val="9"/>
        </w:numPr>
        <w:rPr>
          <w:color w:val="000000" w:themeColor="text1"/>
        </w:rPr>
      </w:pPr>
      <w:r>
        <w:rPr>
          <w:color w:val="000000" w:themeColor="text1"/>
        </w:rPr>
        <w:t xml:space="preserve">Eliminate “Ministerial Permits” for reasons that it </w:t>
      </w:r>
      <w:r w:rsidR="00463C41">
        <w:rPr>
          <w:color w:val="000000" w:themeColor="text1"/>
        </w:rPr>
        <w:t>does not allow</w:t>
      </w:r>
      <w:r>
        <w:rPr>
          <w:color w:val="000000" w:themeColor="text1"/>
        </w:rPr>
        <w:t xml:space="preserve"> public due process and gives unbalanced decision-making power to the legal counsel and</w:t>
      </w:r>
      <w:r w:rsidR="00463C41">
        <w:rPr>
          <w:color w:val="000000" w:themeColor="text1"/>
        </w:rPr>
        <w:t xml:space="preserve"> </w:t>
      </w:r>
      <w:r>
        <w:rPr>
          <w:color w:val="000000" w:themeColor="text1"/>
        </w:rPr>
        <w:t>city manager.</w:t>
      </w:r>
    </w:p>
    <w:p w14:paraId="38CC37E0" w14:textId="77777777" w:rsidR="000630AA" w:rsidRPr="000630AA" w:rsidRDefault="000630AA" w:rsidP="000630AA">
      <w:pPr>
        <w:pStyle w:val="ListParagraph"/>
        <w:rPr>
          <w:color w:val="000000" w:themeColor="text1"/>
        </w:rPr>
      </w:pPr>
    </w:p>
    <w:p w14:paraId="6A1167E9" w14:textId="57E021E9" w:rsidR="000630AA" w:rsidRDefault="000630AA" w:rsidP="000630AA">
      <w:pPr>
        <w:pStyle w:val="ListParagraph"/>
        <w:numPr>
          <w:ilvl w:val="0"/>
          <w:numId w:val="9"/>
        </w:numPr>
        <w:ind w:left="648"/>
        <w:rPr>
          <w:color w:val="000000" w:themeColor="text1"/>
        </w:rPr>
      </w:pPr>
      <w:r>
        <w:rPr>
          <w:color w:val="000000" w:themeColor="text1"/>
        </w:rPr>
        <w:t>Eliminate all statements allowing ministerial permits to be applied and approved for the processing any permit applications.</w:t>
      </w:r>
    </w:p>
    <w:p w14:paraId="4C81DDE2" w14:textId="1ED827E6" w:rsidR="0065631D" w:rsidRDefault="0065631D" w:rsidP="0065631D">
      <w:pPr>
        <w:rPr>
          <w:color w:val="000000" w:themeColor="text1"/>
        </w:rPr>
      </w:pPr>
    </w:p>
    <w:p w14:paraId="657F526F" w14:textId="608A48C9" w:rsidR="0065631D" w:rsidRDefault="0065631D" w:rsidP="0065631D">
      <w:pPr>
        <w:rPr>
          <w:color w:val="000000" w:themeColor="text1"/>
        </w:rPr>
      </w:pPr>
    </w:p>
    <w:p w14:paraId="34172668" w14:textId="1371ADAD" w:rsidR="0065631D" w:rsidRDefault="0065631D" w:rsidP="0065631D">
      <w:pPr>
        <w:rPr>
          <w:color w:val="000000" w:themeColor="text1"/>
        </w:rPr>
      </w:pPr>
      <w:r>
        <w:rPr>
          <w:color w:val="000000" w:themeColor="text1"/>
        </w:rPr>
        <w:t>Thank you for your consideration.</w:t>
      </w:r>
    </w:p>
    <w:p w14:paraId="0B2093A0" w14:textId="7BCC296D" w:rsidR="0065631D" w:rsidRDefault="0065631D" w:rsidP="0065631D">
      <w:pPr>
        <w:rPr>
          <w:color w:val="000000" w:themeColor="text1"/>
        </w:rPr>
      </w:pPr>
    </w:p>
    <w:p w14:paraId="625E45AA" w14:textId="6441F93F" w:rsidR="0065631D" w:rsidRDefault="0065631D" w:rsidP="0065631D">
      <w:pPr>
        <w:rPr>
          <w:color w:val="000000" w:themeColor="text1"/>
        </w:rPr>
      </w:pPr>
      <w:r>
        <w:rPr>
          <w:color w:val="000000" w:themeColor="text1"/>
        </w:rPr>
        <w:t>Best Regards,</w:t>
      </w:r>
    </w:p>
    <w:p w14:paraId="41A6CAD5" w14:textId="21C43106" w:rsidR="0065631D" w:rsidRDefault="0065631D" w:rsidP="0065631D">
      <w:pPr>
        <w:rPr>
          <w:color w:val="000000" w:themeColor="text1"/>
        </w:rPr>
      </w:pPr>
      <w:r>
        <w:rPr>
          <w:color w:val="000000" w:themeColor="text1"/>
        </w:rPr>
        <w:t>Lena Pu</w:t>
      </w:r>
    </w:p>
    <w:p w14:paraId="7E9967B3" w14:textId="4080A799" w:rsidR="0065631D" w:rsidRDefault="0065631D" w:rsidP="0065631D">
      <w:pPr>
        <w:rPr>
          <w:color w:val="000000" w:themeColor="text1"/>
        </w:rPr>
      </w:pPr>
      <w:r>
        <w:rPr>
          <w:color w:val="000000" w:themeColor="text1"/>
        </w:rPr>
        <w:t xml:space="preserve">Founder, </w:t>
      </w:r>
      <w:proofErr w:type="spellStart"/>
      <w:r w:rsidR="000260FD">
        <w:rPr>
          <w:color w:val="000000" w:themeColor="text1"/>
        </w:rPr>
        <w:t>xxxxx</w:t>
      </w:r>
      <w:proofErr w:type="spellEnd"/>
      <w:r>
        <w:rPr>
          <w:color w:val="000000" w:themeColor="text1"/>
        </w:rPr>
        <w:t xml:space="preserve"> Anti-5G Microwave Network (DAMN</w:t>
      </w:r>
      <w:r w:rsidR="000260FD">
        <w:rPr>
          <w:color w:val="000000" w:themeColor="text1"/>
        </w:rPr>
        <w:t xml:space="preserve"> 5G</w:t>
      </w:r>
      <w:r>
        <w:rPr>
          <w:color w:val="000000" w:themeColor="text1"/>
        </w:rPr>
        <w:t>)</w:t>
      </w:r>
    </w:p>
    <w:p w14:paraId="663563AB" w14:textId="1E1208F9" w:rsidR="0065631D" w:rsidRPr="0065631D" w:rsidRDefault="0065631D" w:rsidP="0065631D">
      <w:pPr>
        <w:rPr>
          <w:color w:val="000000" w:themeColor="text1"/>
        </w:rPr>
      </w:pPr>
      <w:r>
        <w:rPr>
          <w:color w:val="000000" w:themeColor="text1"/>
        </w:rPr>
        <w:t>Environmental Health Consultant &amp; Researcher (NACST.org)</w:t>
      </w:r>
    </w:p>
    <w:sectPr w:rsidR="0065631D" w:rsidRPr="0065631D" w:rsidSect="006273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F70"/>
    <w:multiLevelType w:val="hybridMultilevel"/>
    <w:tmpl w:val="3DDEEC02"/>
    <w:lvl w:ilvl="0" w:tplc="A3FEB57A">
      <w:start w:val="1"/>
      <w:numFmt w:val="lowerLetter"/>
      <w:lvlText w:val="(%1)"/>
      <w:lvlJc w:val="left"/>
      <w:pPr>
        <w:ind w:left="820" w:hanging="720"/>
      </w:pPr>
      <w:rPr>
        <w:rFonts w:ascii="Times New Roman" w:eastAsia="Times New Roman" w:hAnsi="Times New Roman" w:cs="Times New Roman" w:hint="default"/>
        <w:spacing w:val="-27"/>
        <w:w w:val="99"/>
        <w:sz w:val="24"/>
        <w:szCs w:val="24"/>
      </w:rPr>
    </w:lvl>
    <w:lvl w:ilvl="1" w:tplc="C0E473A0">
      <w:start w:val="1"/>
      <w:numFmt w:val="decimal"/>
      <w:lvlText w:val="(%2)"/>
      <w:lvlJc w:val="left"/>
      <w:pPr>
        <w:ind w:left="1540" w:hanging="720"/>
      </w:pPr>
      <w:rPr>
        <w:rFonts w:ascii="Times New Roman" w:eastAsia="Times New Roman" w:hAnsi="Times New Roman" w:cs="Times New Roman" w:hint="default"/>
        <w:spacing w:val="-30"/>
        <w:w w:val="99"/>
        <w:sz w:val="24"/>
        <w:szCs w:val="24"/>
      </w:rPr>
    </w:lvl>
    <w:lvl w:ilvl="2" w:tplc="3ED02842">
      <w:start w:val="1"/>
      <w:numFmt w:val="upperLetter"/>
      <w:lvlText w:val="(%3)"/>
      <w:lvlJc w:val="left"/>
      <w:pPr>
        <w:ind w:left="2260" w:hanging="720"/>
      </w:pPr>
      <w:rPr>
        <w:rFonts w:ascii="Times New Roman" w:eastAsia="Times New Roman" w:hAnsi="Times New Roman" w:cs="Times New Roman" w:hint="default"/>
        <w:w w:val="99"/>
        <w:sz w:val="24"/>
        <w:szCs w:val="24"/>
      </w:rPr>
    </w:lvl>
    <w:lvl w:ilvl="3" w:tplc="EDFEDC18">
      <w:numFmt w:val="bullet"/>
      <w:lvlText w:val="•"/>
      <w:lvlJc w:val="left"/>
      <w:pPr>
        <w:ind w:left="3175" w:hanging="720"/>
      </w:pPr>
      <w:rPr>
        <w:rFonts w:hint="default"/>
      </w:rPr>
    </w:lvl>
    <w:lvl w:ilvl="4" w:tplc="15C80B6A">
      <w:numFmt w:val="bullet"/>
      <w:lvlText w:val="•"/>
      <w:lvlJc w:val="left"/>
      <w:pPr>
        <w:ind w:left="4090" w:hanging="720"/>
      </w:pPr>
      <w:rPr>
        <w:rFonts w:hint="default"/>
      </w:rPr>
    </w:lvl>
    <w:lvl w:ilvl="5" w:tplc="64E8A86C">
      <w:numFmt w:val="bullet"/>
      <w:lvlText w:val="•"/>
      <w:lvlJc w:val="left"/>
      <w:pPr>
        <w:ind w:left="5005" w:hanging="720"/>
      </w:pPr>
      <w:rPr>
        <w:rFonts w:hint="default"/>
      </w:rPr>
    </w:lvl>
    <w:lvl w:ilvl="6" w:tplc="CA84B9DC">
      <w:numFmt w:val="bullet"/>
      <w:lvlText w:val="•"/>
      <w:lvlJc w:val="left"/>
      <w:pPr>
        <w:ind w:left="5920" w:hanging="720"/>
      </w:pPr>
      <w:rPr>
        <w:rFonts w:hint="default"/>
      </w:rPr>
    </w:lvl>
    <w:lvl w:ilvl="7" w:tplc="B1628204">
      <w:numFmt w:val="bullet"/>
      <w:lvlText w:val="•"/>
      <w:lvlJc w:val="left"/>
      <w:pPr>
        <w:ind w:left="6835" w:hanging="720"/>
      </w:pPr>
      <w:rPr>
        <w:rFonts w:hint="default"/>
      </w:rPr>
    </w:lvl>
    <w:lvl w:ilvl="8" w:tplc="673241EE">
      <w:numFmt w:val="bullet"/>
      <w:lvlText w:val="•"/>
      <w:lvlJc w:val="left"/>
      <w:pPr>
        <w:ind w:left="7750" w:hanging="720"/>
      </w:pPr>
      <w:rPr>
        <w:rFonts w:hint="default"/>
      </w:rPr>
    </w:lvl>
  </w:abstractNum>
  <w:abstractNum w:abstractNumId="1" w15:restartNumberingAfterBreak="0">
    <w:nsid w:val="0BCD658B"/>
    <w:multiLevelType w:val="hybridMultilevel"/>
    <w:tmpl w:val="19FC4FE2"/>
    <w:lvl w:ilvl="0" w:tplc="57E0A6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A37D5"/>
    <w:multiLevelType w:val="hybridMultilevel"/>
    <w:tmpl w:val="4FCC96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D46358"/>
    <w:multiLevelType w:val="hybridMultilevel"/>
    <w:tmpl w:val="19FC4FE2"/>
    <w:lvl w:ilvl="0" w:tplc="57E0A6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D6072"/>
    <w:multiLevelType w:val="hybridMultilevel"/>
    <w:tmpl w:val="86862AAC"/>
    <w:lvl w:ilvl="0" w:tplc="57E0A6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55B549E"/>
    <w:multiLevelType w:val="hybridMultilevel"/>
    <w:tmpl w:val="11B0FF1C"/>
    <w:lvl w:ilvl="0" w:tplc="CC627760">
      <w:start w:val="47"/>
      <w:numFmt w:val="decimal"/>
      <w:lvlText w:val="(%1"/>
      <w:lvlJc w:val="left"/>
      <w:pPr>
        <w:ind w:left="1220" w:hanging="360"/>
      </w:pPr>
      <w:rPr>
        <w:rFonts w:hint="default"/>
        <w:i w:val="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628A12B4"/>
    <w:multiLevelType w:val="hybridMultilevel"/>
    <w:tmpl w:val="5E4279EC"/>
    <w:lvl w:ilvl="0" w:tplc="57E0A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BA5730"/>
    <w:multiLevelType w:val="hybridMultilevel"/>
    <w:tmpl w:val="001CA0E8"/>
    <w:lvl w:ilvl="0" w:tplc="57E0A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F2206"/>
    <w:multiLevelType w:val="hybridMultilevel"/>
    <w:tmpl w:val="E5E64CCA"/>
    <w:lvl w:ilvl="0" w:tplc="3F203A4C">
      <w:start w:val="1"/>
      <w:numFmt w:val="lowerLetter"/>
      <w:lvlText w:val="(%1)"/>
      <w:lvlJc w:val="left"/>
      <w:pPr>
        <w:ind w:left="820" w:hanging="720"/>
      </w:pPr>
      <w:rPr>
        <w:rFonts w:ascii="Times New Roman" w:eastAsia="Times New Roman" w:hAnsi="Times New Roman" w:cs="Times New Roman" w:hint="default"/>
        <w:spacing w:val="-27"/>
        <w:w w:val="99"/>
        <w:sz w:val="24"/>
        <w:szCs w:val="24"/>
      </w:rPr>
    </w:lvl>
    <w:lvl w:ilvl="1" w:tplc="BDF03644">
      <w:start w:val="1"/>
      <w:numFmt w:val="decimal"/>
      <w:lvlText w:val="(%2)"/>
      <w:lvlJc w:val="left"/>
      <w:pPr>
        <w:ind w:left="1540" w:hanging="720"/>
      </w:pPr>
      <w:rPr>
        <w:rFonts w:ascii="Times New Roman" w:eastAsia="Times New Roman" w:hAnsi="Times New Roman" w:cs="Times New Roman" w:hint="default"/>
        <w:w w:val="99"/>
        <w:sz w:val="24"/>
        <w:szCs w:val="24"/>
      </w:rPr>
    </w:lvl>
    <w:lvl w:ilvl="2" w:tplc="3B0497FE">
      <w:numFmt w:val="bullet"/>
      <w:lvlText w:val="•"/>
      <w:lvlJc w:val="left"/>
      <w:pPr>
        <w:ind w:left="2433" w:hanging="720"/>
      </w:pPr>
      <w:rPr>
        <w:rFonts w:hint="default"/>
      </w:rPr>
    </w:lvl>
    <w:lvl w:ilvl="3" w:tplc="54BACAA2">
      <w:numFmt w:val="bullet"/>
      <w:lvlText w:val="•"/>
      <w:lvlJc w:val="left"/>
      <w:pPr>
        <w:ind w:left="3326" w:hanging="720"/>
      </w:pPr>
      <w:rPr>
        <w:rFonts w:hint="default"/>
      </w:rPr>
    </w:lvl>
    <w:lvl w:ilvl="4" w:tplc="2F0EB85A">
      <w:numFmt w:val="bullet"/>
      <w:lvlText w:val="•"/>
      <w:lvlJc w:val="left"/>
      <w:pPr>
        <w:ind w:left="4220" w:hanging="720"/>
      </w:pPr>
      <w:rPr>
        <w:rFonts w:hint="default"/>
      </w:rPr>
    </w:lvl>
    <w:lvl w:ilvl="5" w:tplc="EE1AF18E">
      <w:numFmt w:val="bullet"/>
      <w:lvlText w:val="•"/>
      <w:lvlJc w:val="left"/>
      <w:pPr>
        <w:ind w:left="5113" w:hanging="720"/>
      </w:pPr>
      <w:rPr>
        <w:rFonts w:hint="default"/>
      </w:rPr>
    </w:lvl>
    <w:lvl w:ilvl="6" w:tplc="7074A3BC">
      <w:numFmt w:val="bullet"/>
      <w:lvlText w:val="•"/>
      <w:lvlJc w:val="left"/>
      <w:pPr>
        <w:ind w:left="6006" w:hanging="720"/>
      </w:pPr>
      <w:rPr>
        <w:rFonts w:hint="default"/>
      </w:rPr>
    </w:lvl>
    <w:lvl w:ilvl="7" w:tplc="F8847D00">
      <w:numFmt w:val="bullet"/>
      <w:lvlText w:val="•"/>
      <w:lvlJc w:val="left"/>
      <w:pPr>
        <w:ind w:left="6900" w:hanging="720"/>
      </w:pPr>
      <w:rPr>
        <w:rFonts w:hint="default"/>
      </w:rPr>
    </w:lvl>
    <w:lvl w:ilvl="8" w:tplc="E65E3F7C">
      <w:numFmt w:val="bullet"/>
      <w:lvlText w:val="•"/>
      <w:lvlJc w:val="left"/>
      <w:pPr>
        <w:ind w:left="7793" w:hanging="720"/>
      </w:pPr>
      <w:rPr>
        <w:rFonts w:hint="default"/>
      </w:rPr>
    </w:lvl>
  </w:abstractNum>
  <w:abstractNum w:abstractNumId="9" w15:restartNumberingAfterBreak="0">
    <w:nsid w:val="68EC01FD"/>
    <w:multiLevelType w:val="hybridMultilevel"/>
    <w:tmpl w:val="E89EB94E"/>
    <w:lvl w:ilvl="0" w:tplc="623C032C">
      <w:numFmt w:val="bullet"/>
      <w:lvlText w:val="•"/>
      <w:lvlJc w:val="left"/>
      <w:pPr>
        <w:ind w:left="1580" w:hanging="720"/>
      </w:pPr>
      <w:rPr>
        <w:rFonts w:ascii="Times New Roman" w:eastAsia="Times New Roman" w:hAnsi="Times New Roman" w:cs="Times New Roman" w:hint="default"/>
        <w:w w:val="99"/>
        <w:sz w:val="24"/>
        <w:szCs w:val="24"/>
      </w:rPr>
    </w:lvl>
    <w:lvl w:ilvl="1" w:tplc="F4086098">
      <w:numFmt w:val="bullet"/>
      <w:lvlText w:val="•"/>
      <w:lvlJc w:val="left"/>
      <w:pPr>
        <w:ind w:left="2390" w:hanging="720"/>
      </w:pPr>
      <w:rPr>
        <w:rFonts w:hint="default"/>
      </w:rPr>
    </w:lvl>
    <w:lvl w:ilvl="2" w:tplc="FC44725E">
      <w:numFmt w:val="bullet"/>
      <w:lvlText w:val="•"/>
      <w:lvlJc w:val="left"/>
      <w:pPr>
        <w:ind w:left="3200" w:hanging="720"/>
      </w:pPr>
      <w:rPr>
        <w:rFonts w:hint="default"/>
      </w:rPr>
    </w:lvl>
    <w:lvl w:ilvl="3" w:tplc="08C83018">
      <w:numFmt w:val="bullet"/>
      <w:lvlText w:val="•"/>
      <w:lvlJc w:val="left"/>
      <w:pPr>
        <w:ind w:left="4010" w:hanging="720"/>
      </w:pPr>
      <w:rPr>
        <w:rFonts w:hint="default"/>
      </w:rPr>
    </w:lvl>
    <w:lvl w:ilvl="4" w:tplc="95602474">
      <w:numFmt w:val="bullet"/>
      <w:lvlText w:val="•"/>
      <w:lvlJc w:val="left"/>
      <w:pPr>
        <w:ind w:left="4820" w:hanging="720"/>
      </w:pPr>
      <w:rPr>
        <w:rFonts w:hint="default"/>
      </w:rPr>
    </w:lvl>
    <w:lvl w:ilvl="5" w:tplc="B8EE343E">
      <w:numFmt w:val="bullet"/>
      <w:lvlText w:val="•"/>
      <w:lvlJc w:val="left"/>
      <w:pPr>
        <w:ind w:left="5630" w:hanging="720"/>
      </w:pPr>
      <w:rPr>
        <w:rFonts w:hint="default"/>
      </w:rPr>
    </w:lvl>
    <w:lvl w:ilvl="6" w:tplc="A314E730">
      <w:numFmt w:val="bullet"/>
      <w:lvlText w:val="•"/>
      <w:lvlJc w:val="left"/>
      <w:pPr>
        <w:ind w:left="6440" w:hanging="720"/>
      </w:pPr>
      <w:rPr>
        <w:rFonts w:hint="default"/>
      </w:rPr>
    </w:lvl>
    <w:lvl w:ilvl="7" w:tplc="9EBE5A42">
      <w:numFmt w:val="bullet"/>
      <w:lvlText w:val="•"/>
      <w:lvlJc w:val="left"/>
      <w:pPr>
        <w:ind w:left="7250" w:hanging="720"/>
      </w:pPr>
      <w:rPr>
        <w:rFonts w:hint="default"/>
      </w:rPr>
    </w:lvl>
    <w:lvl w:ilvl="8" w:tplc="281C0062">
      <w:numFmt w:val="bullet"/>
      <w:lvlText w:val="•"/>
      <w:lvlJc w:val="left"/>
      <w:pPr>
        <w:ind w:left="8060" w:hanging="720"/>
      </w:pPr>
      <w:rPr>
        <w:rFonts w:hint="default"/>
      </w:rPr>
    </w:lvl>
  </w:abstractNum>
  <w:num w:numId="1">
    <w:abstractNumId w:val="1"/>
  </w:num>
  <w:num w:numId="2">
    <w:abstractNumId w:val="9"/>
  </w:num>
  <w:num w:numId="3">
    <w:abstractNumId w:val="5"/>
  </w:num>
  <w:num w:numId="4">
    <w:abstractNumId w:val="6"/>
  </w:num>
  <w:num w:numId="5">
    <w:abstractNumId w:val="2"/>
  </w:num>
  <w:num w:numId="6">
    <w:abstractNumId w:val="4"/>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25"/>
    <w:rsid w:val="0001197D"/>
    <w:rsid w:val="000260FD"/>
    <w:rsid w:val="000630AA"/>
    <w:rsid w:val="00166CC9"/>
    <w:rsid w:val="001A754F"/>
    <w:rsid w:val="00221104"/>
    <w:rsid w:val="003403E1"/>
    <w:rsid w:val="003B7AFC"/>
    <w:rsid w:val="00463C41"/>
    <w:rsid w:val="005D6536"/>
    <w:rsid w:val="005E1402"/>
    <w:rsid w:val="00627361"/>
    <w:rsid w:val="0065631D"/>
    <w:rsid w:val="007F1E25"/>
    <w:rsid w:val="008F78A5"/>
    <w:rsid w:val="00900A98"/>
    <w:rsid w:val="00A02C98"/>
    <w:rsid w:val="00A7718D"/>
    <w:rsid w:val="00AA4D63"/>
    <w:rsid w:val="00AD0399"/>
    <w:rsid w:val="00EA4EF1"/>
    <w:rsid w:val="00EA6348"/>
    <w:rsid w:val="00F1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584A"/>
  <w15:chartTrackingRefBased/>
  <w15:docId w15:val="{7F3BCFD3-8D68-7744-94F9-20DE3630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1E25"/>
    <w:pPr>
      <w:ind w:left="720"/>
      <w:contextualSpacing/>
    </w:pPr>
  </w:style>
  <w:style w:type="paragraph" w:styleId="BodyText">
    <w:name w:val="Body Text"/>
    <w:basedOn w:val="Normal"/>
    <w:link w:val="BodyTextChar"/>
    <w:uiPriority w:val="1"/>
    <w:qFormat/>
    <w:rsid w:val="007F1E2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F1E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21</cp:revision>
  <dcterms:created xsi:type="dcterms:W3CDTF">2020-01-19T00:15:00Z</dcterms:created>
  <dcterms:modified xsi:type="dcterms:W3CDTF">2020-02-29T23:50:00Z</dcterms:modified>
</cp:coreProperties>
</file>