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5411" w14:textId="327F1EFE" w:rsidR="002D5843" w:rsidRPr="002D3A87" w:rsidRDefault="00EC0B46" w:rsidP="002D3A87">
      <w:pPr>
        <w:rPr>
          <w:rFonts w:ascii="Arial" w:eastAsia="Times New Roman" w:hAnsi="Arial" w:cs="Arial"/>
        </w:rPr>
      </w:pPr>
      <w:r w:rsidRPr="00061608">
        <w:rPr>
          <w:rFonts w:ascii="Arial" w:eastAsia="Times New Roman" w:hAnsi="Arial" w:cs="Arial"/>
          <w:color w:val="000000"/>
        </w:rPr>
        <w:t>November 1</w:t>
      </w:r>
      <w:r w:rsidR="002D5843" w:rsidRPr="00061608">
        <w:rPr>
          <w:rFonts w:ascii="Arial" w:eastAsia="Times New Roman" w:hAnsi="Arial" w:cs="Arial"/>
          <w:color w:val="000000"/>
        </w:rPr>
        <w:t>, 2019</w:t>
      </w:r>
    </w:p>
    <w:p w14:paraId="3A56E033" w14:textId="77777777" w:rsidR="002D5843" w:rsidRPr="00061608" w:rsidRDefault="002D5843" w:rsidP="002D5843">
      <w:pPr>
        <w:rPr>
          <w:rFonts w:ascii="Arial" w:eastAsia="Times New Roman" w:hAnsi="Arial" w:cs="Arial"/>
          <w:color w:val="000000"/>
        </w:rPr>
      </w:pPr>
    </w:p>
    <w:p w14:paraId="31E3DE11" w14:textId="51D4CD44" w:rsidR="002D5843" w:rsidRDefault="002D5843" w:rsidP="002D5843">
      <w:pPr>
        <w:rPr>
          <w:rFonts w:ascii="Arial" w:eastAsia="Times New Roman" w:hAnsi="Arial" w:cs="Arial"/>
          <w:b/>
          <w:bCs/>
          <w:color w:val="000000"/>
        </w:rPr>
      </w:pPr>
      <w:r w:rsidRPr="00061608">
        <w:rPr>
          <w:rFonts w:ascii="Arial" w:eastAsia="Times New Roman" w:hAnsi="Arial" w:cs="Arial"/>
          <w:b/>
          <w:bCs/>
          <w:color w:val="000000"/>
        </w:rPr>
        <w:t>To City of Davis Council Members:</w:t>
      </w:r>
    </w:p>
    <w:p w14:paraId="6BD37F1E" w14:textId="77777777" w:rsidR="002D3A87" w:rsidRPr="00061608" w:rsidRDefault="002D3A87" w:rsidP="002D5843">
      <w:pPr>
        <w:rPr>
          <w:rFonts w:ascii="Arial" w:eastAsia="Times New Roman" w:hAnsi="Arial" w:cs="Arial"/>
          <w:color w:val="000000"/>
        </w:rPr>
      </w:pPr>
    </w:p>
    <w:p w14:paraId="42482351" w14:textId="77777777" w:rsidR="002D5843" w:rsidRPr="00061608" w:rsidRDefault="002D5843" w:rsidP="002D5843">
      <w:pPr>
        <w:rPr>
          <w:rFonts w:ascii="Arial" w:eastAsia="Times New Roman" w:hAnsi="Arial" w:cs="Arial"/>
          <w:color w:val="000000"/>
        </w:rPr>
      </w:pPr>
      <w:r w:rsidRPr="00061608">
        <w:rPr>
          <w:rFonts w:ascii="Arial" w:eastAsia="Times New Roman" w:hAnsi="Arial" w:cs="Arial"/>
          <w:b/>
          <w:bCs/>
          <w:color w:val="000000"/>
        </w:rPr>
        <w:t>To City of Davis Planning Commissioners:</w:t>
      </w:r>
    </w:p>
    <w:p w14:paraId="074E8EE2" w14:textId="77777777" w:rsidR="002D5843" w:rsidRPr="00061608" w:rsidRDefault="002D5843" w:rsidP="002D5843">
      <w:pPr>
        <w:rPr>
          <w:rFonts w:ascii="Arial" w:eastAsia="Times New Roman" w:hAnsi="Arial" w:cs="Arial"/>
          <w:color w:val="000000"/>
        </w:rPr>
      </w:pPr>
    </w:p>
    <w:p w14:paraId="24272721" w14:textId="3FB1F226" w:rsidR="002D5843" w:rsidRPr="00061608" w:rsidRDefault="002D5843" w:rsidP="002D5843">
      <w:pPr>
        <w:rPr>
          <w:rFonts w:ascii="Arial" w:eastAsia="Times New Roman" w:hAnsi="Arial" w:cs="Arial"/>
          <w:b/>
          <w:bCs/>
          <w:color w:val="000000"/>
        </w:rPr>
      </w:pPr>
      <w:r w:rsidRPr="00061608">
        <w:rPr>
          <w:rFonts w:ascii="Arial" w:eastAsia="Times New Roman" w:hAnsi="Arial" w:cs="Arial"/>
          <w:b/>
          <w:bCs/>
          <w:color w:val="000000"/>
        </w:rPr>
        <w:t>To City of Davis Management and Staff:</w:t>
      </w:r>
    </w:p>
    <w:p w14:paraId="59623B35" w14:textId="77777777" w:rsidR="002D5843" w:rsidRPr="00061608" w:rsidRDefault="002D5843" w:rsidP="002D5843">
      <w:pPr>
        <w:rPr>
          <w:rFonts w:ascii="Arial" w:eastAsia="Times New Roman" w:hAnsi="Arial" w:cs="Arial"/>
          <w:color w:val="000000"/>
        </w:rPr>
      </w:pPr>
    </w:p>
    <w:p w14:paraId="28865332" w14:textId="5EDCDE74" w:rsidR="002D5843" w:rsidRPr="00061608" w:rsidRDefault="002D5843" w:rsidP="002D5843">
      <w:pPr>
        <w:rPr>
          <w:rFonts w:ascii="Arial" w:eastAsia="Times New Roman" w:hAnsi="Arial" w:cs="Arial"/>
          <w:b/>
          <w:bCs/>
          <w:color w:val="000000"/>
        </w:rPr>
      </w:pPr>
      <w:r w:rsidRPr="00061608">
        <w:rPr>
          <w:rFonts w:ascii="Arial" w:eastAsia="Times New Roman" w:hAnsi="Arial" w:cs="Arial"/>
          <w:b/>
          <w:bCs/>
          <w:color w:val="000000"/>
        </w:rPr>
        <w:t>Re:  Request for Toll</w:t>
      </w:r>
      <w:r w:rsidR="00EF51A6" w:rsidRPr="00061608">
        <w:rPr>
          <w:rFonts w:ascii="Arial" w:eastAsia="Times New Roman" w:hAnsi="Arial" w:cs="Arial"/>
          <w:b/>
          <w:bCs/>
          <w:color w:val="000000"/>
        </w:rPr>
        <w:t xml:space="preserve"> Agreement on Shot Clocks</w:t>
      </w:r>
      <w:r w:rsidRPr="00061608">
        <w:rPr>
          <w:rFonts w:ascii="Arial" w:eastAsia="Times New Roman" w:hAnsi="Arial" w:cs="Arial"/>
          <w:b/>
          <w:bCs/>
          <w:color w:val="000000"/>
        </w:rPr>
        <w:t xml:space="preserve"> </w:t>
      </w:r>
      <w:r w:rsidR="00EF51A6" w:rsidRPr="00061608">
        <w:rPr>
          <w:rFonts w:ascii="Arial" w:eastAsia="Times New Roman" w:hAnsi="Arial" w:cs="Arial"/>
          <w:b/>
          <w:bCs/>
          <w:color w:val="000000"/>
        </w:rPr>
        <w:t>Regarding</w:t>
      </w:r>
      <w:r w:rsidRPr="00061608">
        <w:rPr>
          <w:rFonts w:ascii="Arial" w:eastAsia="Times New Roman" w:hAnsi="Arial" w:cs="Arial"/>
          <w:b/>
          <w:bCs/>
          <w:color w:val="000000"/>
        </w:rPr>
        <w:t xml:space="preserve"> All 5G/4G “Small” Wireless Telecommunication Facilities Pending Receipt of Environmental Assessment</w:t>
      </w:r>
      <w:r w:rsidR="00F6363A" w:rsidRPr="00061608">
        <w:rPr>
          <w:rFonts w:ascii="Arial" w:eastAsia="Times New Roman" w:hAnsi="Arial" w:cs="Arial"/>
          <w:b/>
          <w:bCs/>
          <w:color w:val="000000"/>
        </w:rPr>
        <w:t xml:space="preserve"> et al.</w:t>
      </w:r>
    </w:p>
    <w:p w14:paraId="44327111" w14:textId="77777777" w:rsidR="002D5843" w:rsidRPr="00061608" w:rsidRDefault="002D5843" w:rsidP="002D5843">
      <w:pPr>
        <w:rPr>
          <w:rFonts w:ascii="Arial" w:eastAsia="Times New Roman" w:hAnsi="Arial" w:cs="Arial"/>
          <w:color w:val="000000"/>
        </w:rPr>
      </w:pPr>
    </w:p>
    <w:p w14:paraId="5E287317" w14:textId="63537227" w:rsidR="002D5843" w:rsidRPr="00061608" w:rsidRDefault="002D5843" w:rsidP="002D5843">
      <w:pPr>
        <w:rPr>
          <w:rFonts w:ascii="Arial" w:eastAsia="Times New Roman" w:hAnsi="Arial" w:cs="Arial"/>
          <w:color w:val="000000"/>
        </w:rPr>
      </w:pPr>
      <w:r w:rsidRPr="00061608">
        <w:rPr>
          <w:rFonts w:ascii="Arial" w:eastAsia="Times New Roman" w:hAnsi="Arial" w:cs="Arial"/>
          <w:i/>
          <w:iCs/>
          <w:color w:val="0433FF"/>
        </w:rPr>
        <w:t xml:space="preserve">[Request of City Clerk:  Please add this letter to the City of </w:t>
      </w:r>
      <w:proofErr w:type="spellStart"/>
      <w:r w:rsidR="002D3A87">
        <w:rPr>
          <w:rFonts w:ascii="Arial" w:eastAsia="Times New Roman" w:hAnsi="Arial" w:cs="Arial"/>
          <w:i/>
          <w:iCs/>
          <w:color w:val="0433FF"/>
        </w:rPr>
        <w:t>xxxxx</w:t>
      </w:r>
      <w:proofErr w:type="spellEnd"/>
      <w:r w:rsidRPr="00061608">
        <w:rPr>
          <w:rFonts w:ascii="Arial" w:eastAsia="Times New Roman" w:hAnsi="Arial" w:cs="Arial"/>
          <w:i/>
          <w:iCs/>
          <w:color w:val="0433FF"/>
        </w:rPr>
        <w:t xml:space="preserve"> Public Record</w:t>
      </w:r>
      <w:r w:rsidR="005D06FB" w:rsidRPr="00061608">
        <w:rPr>
          <w:rFonts w:ascii="Arial" w:eastAsia="Times New Roman" w:hAnsi="Arial" w:cs="Arial"/>
          <w:i/>
          <w:iCs/>
          <w:color w:val="0433FF"/>
        </w:rPr>
        <w:t>, t</w:t>
      </w:r>
      <w:r w:rsidRPr="00061608">
        <w:rPr>
          <w:rFonts w:ascii="Arial" w:eastAsia="Times New Roman" w:hAnsi="Arial" w:cs="Arial"/>
          <w:i/>
          <w:iCs/>
          <w:color w:val="0433FF"/>
        </w:rPr>
        <w:t>hank you.]</w:t>
      </w:r>
    </w:p>
    <w:p w14:paraId="50D411FF" w14:textId="77777777" w:rsidR="002D5843" w:rsidRPr="00061608" w:rsidRDefault="002D5843" w:rsidP="002D5843">
      <w:pPr>
        <w:rPr>
          <w:rFonts w:ascii="Arial" w:eastAsia="Times New Roman" w:hAnsi="Arial" w:cs="Arial"/>
          <w:color w:val="000000"/>
        </w:rPr>
      </w:pPr>
    </w:p>
    <w:p w14:paraId="72C338E7" w14:textId="01F5EB0A" w:rsidR="002D5843" w:rsidRPr="00061608" w:rsidRDefault="002D5843" w:rsidP="002D5843">
      <w:pPr>
        <w:rPr>
          <w:rFonts w:ascii="Arial" w:eastAsia="Times New Roman" w:hAnsi="Arial" w:cs="Arial"/>
          <w:color w:val="000000"/>
        </w:rPr>
      </w:pPr>
      <w:r w:rsidRPr="00061608">
        <w:rPr>
          <w:rFonts w:ascii="Arial" w:eastAsia="Times New Roman" w:hAnsi="Arial" w:cs="Arial"/>
          <w:color w:val="000000"/>
        </w:rPr>
        <w:t>Dear Council Member</w:t>
      </w:r>
      <w:r w:rsidR="005D06FB" w:rsidRPr="00061608">
        <w:rPr>
          <w:rFonts w:ascii="Arial" w:eastAsia="Times New Roman" w:hAnsi="Arial" w:cs="Arial"/>
          <w:color w:val="000000"/>
        </w:rPr>
        <w:t>s, City Manager</w:t>
      </w:r>
      <w:r w:rsidR="002D3A87">
        <w:rPr>
          <w:rFonts w:ascii="Arial" w:eastAsia="Times New Roman" w:hAnsi="Arial" w:cs="Arial"/>
          <w:color w:val="000000"/>
        </w:rPr>
        <w:t>,</w:t>
      </w:r>
      <w:r w:rsidR="005D06FB" w:rsidRPr="00061608">
        <w:rPr>
          <w:rFonts w:ascii="Arial" w:eastAsia="Times New Roman" w:hAnsi="Arial" w:cs="Arial"/>
          <w:color w:val="000000"/>
        </w:rPr>
        <w:t xml:space="preserve"> </w:t>
      </w:r>
      <w:r w:rsidRPr="00061608">
        <w:rPr>
          <w:rFonts w:ascii="Arial" w:eastAsia="Times New Roman" w:hAnsi="Arial" w:cs="Arial"/>
          <w:color w:val="000000"/>
        </w:rPr>
        <w:t>Assistant City</w:t>
      </w:r>
      <w:r w:rsidR="002D3A87">
        <w:rPr>
          <w:rFonts w:ascii="Arial" w:eastAsia="Times New Roman" w:hAnsi="Arial" w:cs="Arial"/>
          <w:color w:val="000000"/>
        </w:rPr>
        <w:t xml:space="preserve"> </w:t>
      </w:r>
      <w:proofErr w:type="spellStart"/>
      <w:r w:rsidR="002D3A87">
        <w:rPr>
          <w:rFonts w:ascii="Arial" w:eastAsia="Times New Roman" w:hAnsi="Arial" w:cs="Arial"/>
          <w:color w:val="000000"/>
        </w:rPr>
        <w:t>Managers</w:t>
      </w:r>
      <w:proofErr w:type="spellEnd"/>
      <w:r w:rsidRPr="00061608">
        <w:rPr>
          <w:rFonts w:ascii="Arial" w:eastAsia="Times New Roman" w:hAnsi="Arial" w:cs="Arial"/>
          <w:color w:val="000000"/>
        </w:rPr>
        <w:t>:</w:t>
      </w:r>
    </w:p>
    <w:p w14:paraId="466AEAE2" w14:textId="77777777" w:rsidR="002D5843" w:rsidRPr="00061608" w:rsidRDefault="002D5843" w:rsidP="002D5843">
      <w:pPr>
        <w:rPr>
          <w:rFonts w:ascii="Arial" w:eastAsia="Times New Roman" w:hAnsi="Arial" w:cs="Arial"/>
          <w:color w:val="000000"/>
        </w:rPr>
      </w:pPr>
    </w:p>
    <w:p w14:paraId="28FEF50D" w14:textId="523E98A8" w:rsidR="00EC0B46" w:rsidRPr="00061608" w:rsidRDefault="005D06FB" w:rsidP="002D5843">
      <w:pPr>
        <w:rPr>
          <w:rFonts w:ascii="Arial" w:eastAsia="Times New Roman" w:hAnsi="Arial" w:cs="Arial"/>
          <w:color w:val="000000"/>
        </w:rPr>
      </w:pPr>
      <w:r w:rsidRPr="00061608">
        <w:rPr>
          <w:rFonts w:ascii="Arial" w:eastAsia="Times New Roman" w:hAnsi="Arial" w:cs="Arial"/>
          <w:color w:val="000000"/>
        </w:rPr>
        <w:t xml:space="preserve">This letter is to specifically address several issues that are </w:t>
      </w:r>
      <w:r w:rsidR="00F62CF5" w:rsidRPr="00061608">
        <w:rPr>
          <w:rFonts w:ascii="Arial" w:eastAsia="Times New Roman" w:hAnsi="Arial" w:cs="Arial"/>
          <w:color w:val="000000"/>
        </w:rPr>
        <w:t>urgent</w:t>
      </w:r>
      <w:r w:rsidRPr="00061608">
        <w:rPr>
          <w:rFonts w:ascii="Arial" w:eastAsia="Times New Roman" w:hAnsi="Arial" w:cs="Arial"/>
          <w:color w:val="000000"/>
        </w:rPr>
        <w:t>.  There have been so far three s</w:t>
      </w:r>
      <w:r w:rsidR="006D7F4A" w:rsidRPr="00061608">
        <w:rPr>
          <w:rFonts w:ascii="Arial" w:eastAsia="Times New Roman" w:hAnsi="Arial" w:cs="Arial"/>
          <w:color w:val="000000"/>
        </w:rPr>
        <w:t>ets of</w:t>
      </w:r>
      <w:r w:rsidRPr="00061608">
        <w:rPr>
          <w:rFonts w:ascii="Arial" w:eastAsia="Times New Roman" w:hAnsi="Arial" w:cs="Arial"/>
          <w:color w:val="000000"/>
        </w:rPr>
        <w:t xml:space="preserve"> </w:t>
      </w:r>
      <w:r w:rsidR="006D7F4A" w:rsidRPr="00061608">
        <w:rPr>
          <w:rFonts w:ascii="Arial" w:eastAsia="Times New Roman" w:hAnsi="Arial" w:cs="Arial"/>
          <w:color w:val="000000"/>
        </w:rPr>
        <w:t>5G/4G “</w:t>
      </w:r>
      <w:r w:rsidR="00735808" w:rsidRPr="00061608">
        <w:rPr>
          <w:rFonts w:ascii="Arial" w:eastAsia="Times New Roman" w:hAnsi="Arial" w:cs="Arial"/>
          <w:color w:val="000000"/>
        </w:rPr>
        <w:t>S</w:t>
      </w:r>
      <w:r w:rsidR="006D7F4A" w:rsidRPr="00061608">
        <w:rPr>
          <w:rFonts w:ascii="Arial" w:eastAsia="Times New Roman" w:hAnsi="Arial" w:cs="Arial"/>
          <w:color w:val="000000"/>
        </w:rPr>
        <w:t xml:space="preserve">mall” </w:t>
      </w:r>
      <w:r w:rsidR="00735808" w:rsidRPr="00061608">
        <w:rPr>
          <w:rFonts w:ascii="Arial" w:eastAsia="Times New Roman" w:hAnsi="Arial" w:cs="Arial"/>
          <w:color w:val="000000"/>
        </w:rPr>
        <w:t>W</w:t>
      </w:r>
      <w:r w:rsidR="006D7F4A" w:rsidRPr="00061608">
        <w:rPr>
          <w:rFonts w:ascii="Arial" w:eastAsia="Times New Roman" w:hAnsi="Arial" w:cs="Arial"/>
          <w:color w:val="000000"/>
        </w:rPr>
        <w:t xml:space="preserve">ireless </w:t>
      </w:r>
      <w:r w:rsidR="00735808" w:rsidRPr="00061608">
        <w:rPr>
          <w:rFonts w:ascii="Arial" w:eastAsia="Times New Roman" w:hAnsi="Arial" w:cs="Arial"/>
          <w:color w:val="000000"/>
        </w:rPr>
        <w:t>T</w:t>
      </w:r>
      <w:r w:rsidR="006D7F4A" w:rsidRPr="00061608">
        <w:rPr>
          <w:rFonts w:ascii="Arial" w:eastAsia="Times New Roman" w:hAnsi="Arial" w:cs="Arial"/>
          <w:color w:val="000000"/>
        </w:rPr>
        <w:t xml:space="preserve">elecommunication </w:t>
      </w:r>
      <w:r w:rsidR="00735808" w:rsidRPr="00061608">
        <w:rPr>
          <w:rFonts w:ascii="Arial" w:eastAsia="Times New Roman" w:hAnsi="Arial" w:cs="Arial"/>
          <w:color w:val="000000"/>
        </w:rPr>
        <w:t>F</w:t>
      </w:r>
      <w:r w:rsidR="006D7F4A" w:rsidRPr="00061608">
        <w:rPr>
          <w:rFonts w:ascii="Arial" w:eastAsia="Times New Roman" w:hAnsi="Arial" w:cs="Arial"/>
          <w:color w:val="000000"/>
        </w:rPr>
        <w:t xml:space="preserve">acilities (WTF) </w:t>
      </w:r>
      <w:r w:rsidR="00DC37C9" w:rsidRPr="00061608">
        <w:rPr>
          <w:rFonts w:ascii="Arial" w:eastAsia="Times New Roman" w:hAnsi="Arial" w:cs="Arial"/>
          <w:color w:val="000000"/>
        </w:rPr>
        <w:t xml:space="preserve">lease </w:t>
      </w:r>
      <w:r w:rsidRPr="00061608">
        <w:rPr>
          <w:rFonts w:ascii="Arial" w:eastAsia="Times New Roman" w:hAnsi="Arial" w:cs="Arial"/>
          <w:color w:val="000000"/>
        </w:rPr>
        <w:t>applications</w:t>
      </w:r>
      <w:r w:rsidR="00F62CF5" w:rsidRPr="00061608">
        <w:rPr>
          <w:rFonts w:ascii="Arial" w:eastAsia="Times New Roman" w:hAnsi="Arial" w:cs="Arial"/>
          <w:color w:val="000000"/>
        </w:rPr>
        <w:t xml:space="preserve">, </w:t>
      </w:r>
      <w:r w:rsidR="006D7F4A" w:rsidRPr="00061608">
        <w:rPr>
          <w:rFonts w:ascii="Arial" w:eastAsia="Times New Roman" w:hAnsi="Arial" w:cs="Arial"/>
          <w:color w:val="000000"/>
        </w:rPr>
        <w:t xml:space="preserve">submitted </w:t>
      </w:r>
      <w:r w:rsidRPr="00061608">
        <w:rPr>
          <w:rFonts w:ascii="Arial" w:eastAsia="Times New Roman" w:hAnsi="Arial" w:cs="Arial"/>
          <w:color w:val="000000"/>
        </w:rPr>
        <w:t xml:space="preserve">by </w:t>
      </w:r>
      <w:r w:rsidR="00EF51A6" w:rsidRPr="00061608">
        <w:rPr>
          <w:rFonts w:ascii="Arial" w:eastAsia="Times New Roman" w:hAnsi="Arial" w:cs="Arial"/>
          <w:color w:val="000000"/>
        </w:rPr>
        <w:t xml:space="preserve">telecom industry </w:t>
      </w:r>
      <w:r w:rsidRPr="00061608">
        <w:rPr>
          <w:rFonts w:ascii="Arial" w:eastAsia="Times New Roman" w:hAnsi="Arial" w:cs="Arial"/>
          <w:color w:val="000000"/>
        </w:rPr>
        <w:t xml:space="preserve">Crown Castle and </w:t>
      </w:r>
      <w:proofErr w:type="spellStart"/>
      <w:r w:rsidRPr="00061608">
        <w:rPr>
          <w:rFonts w:ascii="Arial" w:eastAsia="Times New Roman" w:hAnsi="Arial" w:cs="Arial"/>
          <w:color w:val="000000"/>
        </w:rPr>
        <w:t>Nexius</w:t>
      </w:r>
      <w:proofErr w:type="spellEnd"/>
      <w:r w:rsidRPr="00061608">
        <w:rPr>
          <w:rFonts w:ascii="Arial" w:eastAsia="Times New Roman" w:hAnsi="Arial" w:cs="Arial"/>
          <w:color w:val="000000"/>
        </w:rPr>
        <w:t xml:space="preserve"> now total</w:t>
      </w:r>
      <w:r w:rsidR="006D7F4A" w:rsidRPr="00061608">
        <w:rPr>
          <w:rFonts w:ascii="Arial" w:eastAsia="Times New Roman" w:hAnsi="Arial" w:cs="Arial"/>
          <w:color w:val="000000"/>
        </w:rPr>
        <w:t>ing</w:t>
      </w:r>
      <w:r w:rsidRPr="00061608">
        <w:rPr>
          <w:rFonts w:ascii="Arial" w:eastAsia="Times New Roman" w:hAnsi="Arial" w:cs="Arial"/>
          <w:color w:val="000000"/>
        </w:rPr>
        <w:t xml:space="preserve"> 11 </w:t>
      </w:r>
      <w:r w:rsidR="00735808" w:rsidRPr="00061608">
        <w:rPr>
          <w:rFonts w:ascii="Arial" w:eastAsia="Times New Roman" w:hAnsi="Arial" w:cs="Arial"/>
          <w:color w:val="000000"/>
        </w:rPr>
        <w:t>“Small”</w:t>
      </w:r>
      <w:r w:rsidRPr="00061608">
        <w:rPr>
          <w:rFonts w:ascii="Arial" w:eastAsia="Times New Roman" w:hAnsi="Arial" w:cs="Arial"/>
          <w:color w:val="000000"/>
        </w:rPr>
        <w:t xml:space="preserve"> WTF sites</w:t>
      </w:r>
      <w:r w:rsidR="000966AF" w:rsidRPr="00061608">
        <w:rPr>
          <w:rFonts w:ascii="Arial" w:eastAsia="Times New Roman" w:hAnsi="Arial" w:cs="Arial"/>
          <w:color w:val="000000"/>
        </w:rPr>
        <w:t xml:space="preserve">, or at least that I know of since I last corresponded on October 25, 2019 with the City of </w:t>
      </w:r>
      <w:proofErr w:type="spellStart"/>
      <w:r w:rsidR="002D3A87">
        <w:rPr>
          <w:rFonts w:ascii="Arial" w:eastAsia="Times New Roman" w:hAnsi="Arial" w:cs="Arial"/>
          <w:color w:val="000000"/>
        </w:rPr>
        <w:t>xxxxx</w:t>
      </w:r>
      <w:proofErr w:type="spellEnd"/>
      <w:r w:rsidR="000966AF" w:rsidRPr="00061608">
        <w:rPr>
          <w:rFonts w:ascii="Arial" w:eastAsia="Times New Roman" w:hAnsi="Arial" w:cs="Arial"/>
          <w:color w:val="000000"/>
        </w:rPr>
        <w:t xml:space="preserve"> head planner</w:t>
      </w:r>
      <w:r w:rsidRPr="00061608">
        <w:rPr>
          <w:rFonts w:ascii="Arial" w:eastAsia="Times New Roman" w:hAnsi="Arial" w:cs="Arial"/>
          <w:color w:val="000000"/>
        </w:rPr>
        <w:t>.  This letter addresses all those that are current and pending as well as a</w:t>
      </w:r>
      <w:r w:rsidR="006D7F4A" w:rsidRPr="00061608">
        <w:rPr>
          <w:rFonts w:ascii="Arial" w:eastAsia="Times New Roman" w:hAnsi="Arial" w:cs="Arial"/>
          <w:color w:val="000000"/>
        </w:rPr>
        <w:t>ny</w:t>
      </w:r>
      <w:r w:rsidRPr="00061608">
        <w:rPr>
          <w:rFonts w:ascii="Arial" w:eastAsia="Times New Roman" w:hAnsi="Arial" w:cs="Arial"/>
          <w:color w:val="000000"/>
        </w:rPr>
        <w:t xml:space="preserve"> future proposed small WTF lease applications to come.</w:t>
      </w:r>
    </w:p>
    <w:p w14:paraId="682DD7EC" w14:textId="77777777" w:rsidR="00F62CF5" w:rsidRPr="00061608" w:rsidRDefault="00F62CF5" w:rsidP="00F62CF5">
      <w:pPr>
        <w:pStyle w:val="Heading3"/>
        <w:rPr>
          <w:rFonts w:ascii="Arial" w:hAnsi="Arial" w:cs="Arial"/>
          <w:color w:val="000000"/>
          <w:sz w:val="24"/>
          <w:szCs w:val="24"/>
        </w:rPr>
      </w:pPr>
      <w:r w:rsidRPr="00061608">
        <w:rPr>
          <w:rStyle w:val="Strong"/>
          <w:rFonts w:ascii="Arial" w:hAnsi="Arial" w:cs="Arial"/>
          <w:b/>
          <w:bCs/>
          <w:color w:val="000000"/>
          <w:sz w:val="24"/>
          <w:szCs w:val="24"/>
        </w:rPr>
        <w:t>The Need for Environmental Review: NEPA and CEQA</w:t>
      </w:r>
    </w:p>
    <w:p w14:paraId="1D7337BC" w14:textId="3F4CA474" w:rsidR="00F62CF5" w:rsidRPr="00061608" w:rsidRDefault="00F62CF5" w:rsidP="000966AF">
      <w:pPr>
        <w:spacing w:before="100" w:beforeAutospacing="1" w:after="100" w:afterAutospacing="1"/>
        <w:rPr>
          <w:rFonts w:ascii="Arial" w:hAnsi="Arial" w:cs="Arial"/>
          <w:color w:val="000000"/>
        </w:rPr>
      </w:pPr>
      <w:r w:rsidRPr="00061608">
        <w:rPr>
          <w:rFonts w:ascii="Arial" w:hAnsi="Arial" w:cs="Arial"/>
          <w:color w:val="000000"/>
        </w:rPr>
        <w:t>The United States Court of Appeals for the District of Columbia Circuit is one of the thirteen United States Courts of Appeals. After the U.S. Supreme Court, the D.C. Circuit is usually considered the most prestigious of American courts because its jurisdiction contains the U.S. Congress and many of the U.S. government agencies, and therefore it is the main appellate court for many issues of American administrative law and constitutional law.</w:t>
      </w:r>
    </w:p>
    <w:p w14:paraId="7AEBB8C5" w14:textId="214BEC47" w:rsidR="000966AF" w:rsidRPr="00061608" w:rsidRDefault="000966AF" w:rsidP="002D5843">
      <w:pPr>
        <w:rPr>
          <w:rFonts w:ascii="Arial" w:eastAsia="Times New Roman" w:hAnsi="Arial" w:cs="Arial"/>
          <w:color w:val="000000"/>
        </w:rPr>
      </w:pPr>
      <w:r w:rsidRPr="00061608">
        <w:rPr>
          <w:rFonts w:ascii="Arial" w:eastAsia="Times New Roman" w:hAnsi="Arial" w:cs="Arial"/>
          <w:color w:val="000000"/>
        </w:rPr>
        <w:t xml:space="preserve">As a result, the current ministerial actions taken on by the City of </w:t>
      </w:r>
      <w:proofErr w:type="spellStart"/>
      <w:r w:rsidR="002D3A87">
        <w:rPr>
          <w:rFonts w:ascii="Arial" w:eastAsia="Times New Roman" w:hAnsi="Arial" w:cs="Arial"/>
          <w:color w:val="000000"/>
        </w:rPr>
        <w:t>xxxxx</w:t>
      </w:r>
      <w:proofErr w:type="spellEnd"/>
      <w:r w:rsidRPr="00061608">
        <w:rPr>
          <w:rFonts w:ascii="Arial" w:eastAsia="Times New Roman" w:hAnsi="Arial" w:cs="Arial"/>
          <w:color w:val="000000"/>
        </w:rPr>
        <w:t xml:space="preserve"> processing these 5G/4G applications request to be revoked and equitable actions be established since the federal NEPA requirements are expected to be fulfilled as part of any 5G/4G WTF and 5G/4G “Small” WTF application.  The residents of the City of </w:t>
      </w:r>
      <w:proofErr w:type="spellStart"/>
      <w:r w:rsidR="002D3A87">
        <w:rPr>
          <w:rFonts w:ascii="Arial" w:eastAsia="Times New Roman" w:hAnsi="Arial" w:cs="Arial"/>
          <w:color w:val="000000"/>
        </w:rPr>
        <w:t>xxxxx</w:t>
      </w:r>
      <w:proofErr w:type="spellEnd"/>
      <w:r w:rsidRPr="00061608">
        <w:rPr>
          <w:rFonts w:ascii="Arial" w:eastAsia="Times New Roman" w:hAnsi="Arial" w:cs="Arial"/>
          <w:color w:val="000000"/>
        </w:rPr>
        <w:t xml:space="preserve"> request that a “Toll Agreement” be made on all current WTF shot clocks pending the completion of an Environmental Assessment (EA).  The </w:t>
      </w:r>
      <w:r w:rsidR="00B17F51" w:rsidRPr="00061608">
        <w:rPr>
          <w:rFonts w:ascii="Arial" w:eastAsia="Times New Roman" w:hAnsi="Arial" w:cs="Arial"/>
          <w:color w:val="000000"/>
        </w:rPr>
        <w:t>justifications are stated below.</w:t>
      </w:r>
    </w:p>
    <w:p w14:paraId="5AE64BA4" w14:textId="0B24A9B0" w:rsidR="00B17F51" w:rsidRPr="00061608" w:rsidRDefault="00EC0B46" w:rsidP="00E253BF">
      <w:pPr>
        <w:spacing w:before="100" w:beforeAutospacing="1" w:after="100" w:afterAutospacing="1"/>
        <w:rPr>
          <w:rStyle w:val="apple-converted-space"/>
          <w:rFonts w:ascii="Arial" w:hAnsi="Arial" w:cs="Arial"/>
          <w:b/>
          <w:bCs/>
          <w:color w:val="000000"/>
        </w:rPr>
      </w:pPr>
      <w:r w:rsidRPr="00061608">
        <w:rPr>
          <w:rStyle w:val="Strong"/>
          <w:rFonts w:ascii="Arial" w:hAnsi="Arial" w:cs="Arial"/>
          <w:b w:val="0"/>
          <w:bCs w:val="0"/>
          <w:color w:val="000000"/>
        </w:rPr>
        <w:t>On August 9, 2019</w:t>
      </w:r>
      <w:r w:rsidRPr="00061608">
        <w:rPr>
          <w:rFonts w:ascii="Arial" w:hAnsi="Arial" w:cs="Arial"/>
          <w:color w:val="000000"/>
        </w:rPr>
        <w:t>, the judges'</w:t>
      </w:r>
      <w:r w:rsidR="00E253BF" w:rsidRPr="00061608">
        <w:rPr>
          <w:rStyle w:val="apple-converted-space"/>
          <w:rFonts w:ascii="Arial" w:hAnsi="Arial" w:cs="Arial"/>
          <w:color w:val="000000"/>
        </w:rPr>
        <w:t xml:space="preserve"> ruling</w:t>
      </w:r>
      <w:r w:rsidRPr="00061608">
        <w:rPr>
          <w:rStyle w:val="apple-converted-space"/>
          <w:rFonts w:ascii="Arial" w:hAnsi="Arial" w:cs="Arial"/>
          <w:color w:val="000000"/>
        </w:rPr>
        <w:t> </w:t>
      </w:r>
      <w:r w:rsidRPr="00061608">
        <w:rPr>
          <w:rFonts w:ascii="Arial" w:hAnsi="Arial" w:cs="Arial"/>
          <w:color w:val="000000"/>
        </w:rPr>
        <w:t>in The United States Court of Appeals FOR THE DISTRICT OF COLUMBIA CIRCUIT in case 18-1129 found that</w:t>
      </w:r>
      <w:r w:rsidRPr="00061608">
        <w:rPr>
          <w:rStyle w:val="apple-converted-space"/>
          <w:rFonts w:ascii="Arial" w:hAnsi="Arial" w:cs="Arial"/>
          <w:color w:val="000000"/>
        </w:rPr>
        <w:t> </w:t>
      </w:r>
      <w:r w:rsidR="00E253BF" w:rsidRPr="00061608">
        <w:rPr>
          <w:rStyle w:val="apple-converted-space"/>
          <w:rFonts w:ascii="Arial" w:hAnsi="Arial" w:cs="Arial"/>
          <w:color w:val="000000"/>
        </w:rPr>
        <w:t xml:space="preserve">the </w:t>
      </w:r>
      <w:r w:rsidR="00061608" w:rsidRPr="00061608">
        <w:rPr>
          <w:rStyle w:val="apple-converted-space"/>
          <w:rFonts w:ascii="Arial" w:hAnsi="Arial" w:cs="Arial"/>
          <w:b/>
          <w:bCs/>
          <w:color w:val="000000"/>
        </w:rPr>
        <w:t>“F</w:t>
      </w:r>
      <w:r w:rsidRPr="00061608">
        <w:rPr>
          <w:rStyle w:val="Strong"/>
          <w:rFonts w:ascii="Arial" w:hAnsi="Arial" w:cs="Arial"/>
          <w:color w:val="000000"/>
        </w:rPr>
        <w:t>CC Order 18-30 was arbitrary and capricious and, therefore, unlawful</w:t>
      </w:r>
      <w:r w:rsidR="00061608" w:rsidRPr="00061608">
        <w:rPr>
          <w:rStyle w:val="Strong"/>
          <w:rFonts w:ascii="Arial" w:hAnsi="Arial" w:cs="Arial"/>
          <w:color w:val="000000"/>
        </w:rPr>
        <w:t>”</w:t>
      </w:r>
      <w:r w:rsidRPr="00061608">
        <w:rPr>
          <w:rFonts w:ascii="Arial" w:hAnsi="Arial" w:cs="Arial"/>
          <w:color w:val="000000"/>
        </w:rPr>
        <w:t>. Consequently, the Court vacated FCC Order 18-30, thereby reinstating prior NEPA law requirements</w:t>
      </w:r>
      <w:r w:rsidR="002C29A8" w:rsidRPr="00061608">
        <w:rPr>
          <w:rFonts w:ascii="Arial" w:hAnsi="Arial" w:cs="Arial"/>
          <w:color w:val="000000"/>
        </w:rPr>
        <w:t xml:space="preserve"> </w:t>
      </w:r>
      <w:r w:rsidRPr="00061608">
        <w:rPr>
          <w:rFonts w:ascii="Arial" w:hAnsi="Arial" w:cs="Arial"/>
          <w:color w:val="000000"/>
        </w:rPr>
        <w:t>such as</w:t>
      </w:r>
      <w:r w:rsidRPr="00061608">
        <w:rPr>
          <w:rStyle w:val="apple-converted-space"/>
          <w:rFonts w:ascii="Arial" w:hAnsi="Arial" w:cs="Arial"/>
          <w:color w:val="000000" w:themeColor="text1"/>
        </w:rPr>
        <w:t> </w:t>
      </w:r>
      <w:r w:rsidRPr="00061608">
        <w:rPr>
          <w:rFonts w:ascii="Arial" w:hAnsi="Arial" w:cs="Arial"/>
          <w:color w:val="000000" w:themeColor="text1"/>
        </w:rPr>
        <w:t>requiring an</w:t>
      </w:r>
      <w:r w:rsidRPr="00061608">
        <w:rPr>
          <w:rStyle w:val="apple-converted-space"/>
          <w:rFonts w:ascii="Arial" w:hAnsi="Arial" w:cs="Arial"/>
          <w:color w:val="000000" w:themeColor="text1"/>
        </w:rPr>
        <w:t> </w:t>
      </w:r>
      <w:r w:rsidRPr="00061608">
        <w:rPr>
          <w:rStyle w:val="Strong"/>
          <w:rFonts w:ascii="Arial" w:hAnsi="Arial" w:cs="Arial"/>
          <w:b w:val="0"/>
          <w:bCs w:val="0"/>
          <w:color w:val="000000" w:themeColor="text1"/>
        </w:rPr>
        <w:t>Environmental Assessment</w:t>
      </w:r>
      <w:r w:rsidRPr="00061608">
        <w:rPr>
          <w:rStyle w:val="apple-converted-space"/>
          <w:rFonts w:ascii="Arial" w:hAnsi="Arial" w:cs="Arial"/>
          <w:color w:val="000000" w:themeColor="text1"/>
        </w:rPr>
        <w:t> </w:t>
      </w:r>
      <w:r w:rsidRPr="00061608">
        <w:rPr>
          <w:rFonts w:ascii="Arial" w:hAnsi="Arial" w:cs="Arial"/>
          <w:color w:val="000000" w:themeColor="text1"/>
        </w:rPr>
        <w:t xml:space="preserve">of densified </w:t>
      </w:r>
      <w:r w:rsidR="00735808" w:rsidRPr="00061608">
        <w:rPr>
          <w:rFonts w:ascii="Arial" w:hAnsi="Arial" w:cs="Arial"/>
          <w:color w:val="000000" w:themeColor="text1"/>
        </w:rPr>
        <w:t>4G + 5G</w:t>
      </w:r>
      <w:r w:rsidRPr="00061608">
        <w:rPr>
          <w:rFonts w:ascii="Arial" w:hAnsi="Arial" w:cs="Arial"/>
          <w:color w:val="000000" w:themeColor="text1"/>
        </w:rPr>
        <w:t xml:space="preserve"> cell tower deployment. Since </w:t>
      </w:r>
      <w:r w:rsidR="0043220D" w:rsidRPr="00061608">
        <w:rPr>
          <w:rFonts w:ascii="Arial" w:hAnsi="Arial" w:cs="Arial"/>
          <w:color w:val="000000" w:themeColor="text1"/>
        </w:rPr>
        <w:t xml:space="preserve">Crown Castle and </w:t>
      </w:r>
      <w:proofErr w:type="spellStart"/>
      <w:r w:rsidR="0043220D" w:rsidRPr="00061608">
        <w:rPr>
          <w:rFonts w:ascii="Arial" w:hAnsi="Arial" w:cs="Arial"/>
          <w:color w:val="000000" w:themeColor="text1"/>
        </w:rPr>
        <w:t>Nexius</w:t>
      </w:r>
      <w:proofErr w:type="spellEnd"/>
      <w:r w:rsidR="0043220D" w:rsidRPr="00061608">
        <w:rPr>
          <w:rFonts w:ascii="Arial" w:hAnsi="Arial" w:cs="Arial"/>
          <w:color w:val="000000" w:themeColor="text1"/>
        </w:rPr>
        <w:t xml:space="preserve"> and any other cell provider</w:t>
      </w:r>
      <w:r w:rsidRPr="00061608">
        <w:rPr>
          <w:rFonts w:ascii="Arial" w:hAnsi="Arial" w:cs="Arial"/>
          <w:color w:val="000000" w:themeColor="text1"/>
        </w:rPr>
        <w:t xml:space="preserve"> spectrum license </w:t>
      </w:r>
      <w:r w:rsidR="00735808" w:rsidRPr="00061608">
        <w:rPr>
          <w:rFonts w:ascii="Arial" w:hAnsi="Arial" w:cs="Arial"/>
          <w:color w:val="000000"/>
        </w:rPr>
        <w:t>is</w:t>
      </w:r>
      <w:r w:rsidRPr="00061608">
        <w:rPr>
          <w:rFonts w:ascii="Arial" w:hAnsi="Arial" w:cs="Arial"/>
          <w:color w:val="000000"/>
        </w:rPr>
        <w:t xml:space="preserve"> obtained at the FCC, the placement, construction </w:t>
      </w:r>
      <w:r w:rsidR="00735808" w:rsidRPr="00061608">
        <w:rPr>
          <w:rFonts w:ascii="Arial" w:hAnsi="Arial" w:cs="Arial"/>
          <w:color w:val="000000"/>
        </w:rPr>
        <w:t>and/</w:t>
      </w:r>
      <w:r w:rsidRPr="00061608">
        <w:rPr>
          <w:rFonts w:ascii="Arial" w:hAnsi="Arial" w:cs="Arial"/>
          <w:color w:val="000000"/>
        </w:rPr>
        <w:t xml:space="preserve">or modification of any so-called </w:t>
      </w:r>
      <w:r w:rsidR="00735808" w:rsidRPr="00061608">
        <w:rPr>
          <w:rFonts w:ascii="Arial" w:hAnsi="Arial" w:cs="Arial"/>
          <w:color w:val="000000"/>
        </w:rPr>
        <w:t xml:space="preserve">5G/4G </w:t>
      </w:r>
      <w:r w:rsidRPr="00061608">
        <w:rPr>
          <w:rFonts w:ascii="Arial" w:hAnsi="Arial" w:cs="Arial"/>
          <w:color w:val="000000"/>
        </w:rPr>
        <w:t xml:space="preserve">Small </w:t>
      </w:r>
      <w:r w:rsidRPr="00061608">
        <w:rPr>
          <w:rFonts w:ascii="Arial" w:hAnsi="Arial" w:cs="Arial"/>
          <w:color w:val="000000"/>
        </w:rPr>
        <w:lastRenderedPageBreak/>
        <w:t>Cells</w:t>
      </w:r>
      <w:r w:rsidR="00061608" w:rsidRPr="00061608">
        <w:rPr>
          <w:rFonts w:ascii="Arial" w:hAnsi="Arial" w:cs="Arial"/>
          <w:color w:val="000000"/>
        </w:rPr>
        <w:t xml:space="preserve">, also known as, </w:t>
      </w:r>
      <w:r w:rsidR="0043220D" w:rsidRPr="00061608">
        <w:rPr>
          <w:rFonts w:ascii="Arial" w:hAnsi="Arial" w:cs="Arial"/>
          <w:color w:val="000000"/>
        </w:rPr>
        <w:t>”Small” Wireless Telecommunication Facilities</w:t>
      </w:r>
      <w:r w:rsidR="00735808" w:rsidRPr="00061608">
        <w:rPr>
          <w:rFonts w:ascii="Arial" w:hAnsi="Arial" w:cs="Arial"/>
          <w:color w:val="000000"/>
        </w:rPr>
        <w:t xml:space="preserve"> (WTF)</w:t>
      </w:r>
      <w:r w:rsidRPr="00061608">
        <w:rPr>
          <w:rFonts w:ascii="Arial" w:hAnsi="Arial" w:cs="Arial"/>
          <w:color w:val="000000"/>
        </w:rPr>
        <w:t xml:space="preserve"> anywhere in the US, including the City of </w:t>
      </w:r>
      <w:proofErr w:type="spellStart"/>
      <w:r w:rsidR="002D3A87">
        <w:rPr>
          <w:rFonts w:ascii="Arial" w:hAnsi="Arial" w:cs="Arial"/>
          <w:color w:val="000000"/>
        </w:rPr>
        <w:t>xxxxx</w:t>
      </w:r>
      <w:proofErr w:type="spellEnd"/>
      <w:r w:rsidRPr="00061608">
        <w:rPr>
          <w:rFonts w:ascii="Arial" w:hAnsi="Arial" w:cs="Arial"/>
          <w:color w:val="000000"/>
        </w:rPr>
        <w:t xml:space="preserve">, is </w:t>
      </w:r>
      <w:r w:rsidR="00735808" w:rsidRPr="00061608">
        <w:rPr>
          <w:rFonts w:ascii="Arial" w:hAnsi="Arial" w:cs="Arial"/>
          <w:color w:val="000000"/>
        </w:rPr>
        <w:t>considered a part of</w:t>
      </w:r>
      <w:r w:rsidRPr="00061608">
        <w:rPr>
          <w:rFonts w:ascii="Arial" w:hAnsi="Arial" w:cs="Arial"/>
          <w:color w:val="000000"/>
        </w:rPr>
        <w:t xml:space="preserve"> a federal undertaking. This August 9, 2019 DC Circuit decision mandates environmental review of the fully-envisioned network of </w:t>
      </w:r>
      <w:r w:rsidR="0043220D" w:rsidRPr="00061608">
        <w:rPr>
          <w:rFonts w:ascii="Arial" w:hAnsi="Arial" w:cs="Arial"/>
          <w:color w:val="000000"/>
        </w:rPr>
        <w:t xml:space="preserve">these </w:t>
      </w:r>
      <w:r w:rsidRPr="00061608">
        <w:rPr>
          <w:rFonts w:ascii="Arial" w:hAnsi="Arial" w:cs="Arial"/>
          <w:color w:val="000000"/>
        </w:rPr>
        <w:t>so-called "Small</w:t>
      </w:r>
      <w:r w:rsidR="00061608" w:rsidRPr="00061608">
        <w:rPr>
          <w:rFonts w:ascii="Arial" w:hAnsi="Arial" w:cs="Arial"/>
          <w:color w:val="000000"/>
        </w:rPr>
        <w:t>”</w:t>
      </w:r>
      <w:r w:rsidRPr="00061608">
        <w:rPr>
          <w:rFonts w:ascii="Arial" w:hAnsi="Arial" w:cs="Arial"/>
          <w:color w:val="000000"/>
        </w:rPr>
        <w:t xml:space="preserve"> Cells</w:t>
      </w:r>
      <w:proofErr w:type="gramStart"/>
      <w:r w:rsidR="00735808" w:rsidRPr="00061608">
        <w:rPr>
          <w:rFonts w:ascii="Arial" w:hAnsi="Arial" w:cs="Arial"/>
          <w:color w:val="000000"/>
        </w:rPr>
        <w:t>/”Small</w:t>
      </w:r>
      <w:proofErr w:type="gramEnd"/>
      <w:r w:rsidR="00735808" w:rsidRPr="00061608">
        <w:rPr>
          <w:rFonts w:ascii="Arial" w:hAnsi="Arial" w:cs="Arial"/>
          <w:color w:val="000000"/>
        </w:rPr>
        <w:t>” WTF</w:t>
      </w:r>
      <w:r w:rsidRPr="00061608">
        <w:rPr>
          <w:rFonts w:ascii="Arial" w:hAnsi="Arial" w:cs="Arial"/>
          <w:color w:val="000000"/>
        </w:rPr>
        <w:t xml:space="preserve"> throughout the City</w:t>
      </w:r>
      <w:r w:rsidRPr="00061608">
        <w:rPr>
          <w:rFonts w:ascii="Arial" w:hAnsi="Arial" w:cs="Arial"/>
          <w:b/>
          <w:bCs/>
          <w:color w:val="000000"/>
        </w:rPr>
        <w:t>.</w:t>
      </w:r>
      <w:r w:rsidRPr="00061608">
        <w:rPr>
          <w:rStyle w:val="apple-converted-space"/>
          <w:rFonts w:ascii="Arial" w:hAnsi="Arial" w:cs="Arial"/>
          <w:b/>
          <w:bCs/>
          <w:color w:val="000000"/>
        </w:rPr>
        <w:t> </w:t>
      </w:r>
    </w:p>
    <w:p w14:paraId="0C5DDBF9" w14:textId="5898DBAC" w:rsidR="00E253BF" w:rsidRPr="00061608" w:rsidRDefault="00B17F51" w:rsidP="00061608">
      <w:pPr>
        <w:rPr>
          <w:rFonts w:ascii="Arial" w:eastAsia="Times New Roman" w:hAnsi="Arial" w:cs="Arial"/>
          <w:color w:val="000000"/>
        </w:rPr>
      </w:pPr>
      <w:r w:rsidRPr="00061608">
        <w:rPr>
          <w:rStyle w:val="apple-converted-space"/>
          <w:rFonts w:ascii="Arial" w:hAnsi="Arial" w:cs="Arial"/>
          <w:color w:val="000000"/>
        </w:rPr>
        <w:t>Si</w:t>
      </w:r>
      <w:r w:rsidRPr="00061608">
        <w:rPr>
          <w:rFonts w:ascii="Arial" w:eastAsia="Times New Roman" w:hAnsi="Arial" w:cs="Arial"/>
          <w:color w:val="000000"/>
        </w:rPr>
        <w:t>nce the U.S. Court of Appeals for the D.C. Circuit ruled that the FCC did not justify its deregulation of the NEPA reviews and the ability to vacate that part of the larger wireless deployment deregulation order</w:t>
      </w:r>
      <w:r w:rsidR="00061608" w:rsidRPr="00061608">
        <w:rPr>
          <w:rFonts w:ascii="Arial" w:eastAsia="Times New Roman" w:hAnsi="Arial" w:cs="Arial"/>
          <w:color w:val="000000"/>
        </w:rPr>
        <w:t>, here are s</w:t>
      </w:r>
      <w:r w:rsidRPr="00061608">
        <w:rPr>
          <w:rFonts w:ascii="Arial" w:eastAsia="Times New Roman" w:hAnsi="Arial" w:cs="Arial"/>
          <w:color w:val="000000"/>
        </w:rPr>
        <w:t xml:space="preserve">ome of the statements made about the FCC decision that their </w:t>
      </w:r>
      <w:r w:rsidRPr="00061608">
        <w:rPr>
          <w:rFonts w:ascii="Arial" w:eastAsia="Times New Roman" w:hAnsi="Arial" w:cs="Arial"/>
          <w:b/>
          <w:bCs/>
          <w:color w:val="000000"/>
        </w:rPr>
        <w:t xml:space="preserve">“rules were an abrogation of local authority over siting and was running roughshod over important environmental and historical issues in the rush to 5G.” </w:t>
      </w:r>
      <w:r w:rsidRPr="00061608">
        <w:rPr>
          <w:rFonts w:ascii="Arial" w:eastAsia="Times New Roman" w:hAnsi="Arial" w:cs="Arial"/>
          <w:color w:val="000000"/>
        </w:rPr>
        <w:t xml:space="preserve"> The result over the final decision meant that streamlining the national rollout of the small WTF are subject to review to the same extent as larger wireless facilities pursuant to the National Environmental Policy Act of 1969 (NEPA).</w:t>
      </w:r>
    </w:p>
    <w:p w14:paraId="60E2CA43" w14:textId="3150CB22" w:rsidR="00E253BF" w:rsidRPr="00061608" w:rsidRDefault="00EC0B46" w:rsidP="00E253BF">
      <w:pPr>
        <w:spacing w:before="100" w:beforeAutospacing="1" w:after="100" w:afterAutospacing="1"/>
        <w:rPr>
          <w:rFonts w:ascii="Arial" w:hAnsi="Arial" w:cs="Arial"/>
          <w:color w:val="000000"/>
        </w:rPr>
      </w:pPr>
      <w:r w:rsidRPr="00061608">
        <w:rPr>
          <w:rStyle w:val="Strong"/>
          <w:rFonts w:ascii="Arial" w:hAnsi="Arial" w:cs="Arial"/>
          <w:b w:val="0"/>
          <w:bCs w:val="0"/>
          <w:color w:val="000000"/>
        </w:rPr>
        <w:t>Before</w:t>
      </w:r>
      <w:r w:rsidR="0043220D" w:rsidRPr="00061608">
        <w:rPr>
          <w:rStyle w:val="Strong"/>
          <w:rFonts w:ascii="Arial" w:hAnsi="Arial" w:cs="Arial"/>
          <w:b w:val="0"/>
          <w:bCs w:val="0"/>
          <w:color w:val="000000"/>
        </w:rPr>
        <w:t xml:space="preserve"> the City of </w:t>
      </w:r>
      <w:proofErr w:type="spellStart"/>
      <w:r w:rsidR="002D3A87">
        <w:rPr>
          <w:rStyle w:val="Strong"/>
          <w:rFonts w:ascii="Arial" w:hAnsi="Arial" w:cs="Arial"/>
          <w:b w:val="0"/>
          <w:bCs w:val="0"/>
          <w:color w:val="000000"/>
        </w:rPr>
        <w:t>xxxxx</w:t>
      </w:r>
      <w:proofErr w:type="spellEnd"/>
      <w:r w:rsidR="0043220D" w:rsidRPr="00061608">
        <w:rPr>
          <w:rStyle w:val="Strong"/>
          <w:rFonts w:ascii="Arial" w:hAnsi="Arial" w:cs="Arial"/>
          <w:b w:val="0"/>
          <w:bCs w:val="0"/>
          <w:color w:val="000000"/>
        </w:rPr>
        <w:t xml:space="preserve"> can move forward on any continuance in the permitting process, we</w:t>
      </w:r>
      <w:r w:rsidRPr="00061608">
        <w:rPr>
          <w:rStyle w:val="Strong"/>
          <w:rFonts w:ascii="Arial" w:hAnsi="Arial" w:cs="Arial"/>
          <w:b w:val="0"/>
          <w:bCs w:val="0"/>
          <w:color w:val="000000"/>
        </w:rPr>
        <w:t xml:space="preserve"> must first abide by the DC Circuit's decision</w:t>
      </w:r>
      <w:r w:rsidR="0043220D" w:rsidRPr="00061608">
        <w:rPr>
          <w:rStyle w:val="Strong"/>
          <w:rFonts w:ascii="Arial" w:hAnsi="Arial" w:cs="Arial"/>
          <w:b w:val="0"/>
          <w:bCs w:val="0"/>
          <w:color w:val="000000"/>
        </w:rPr>
        <w:t xml:space="preserve"> where the</w:t>
      </w:r>
      <w:r w:rsidRPr="00061608">
        <w:rPr>
          <w:rStyle w:val="Strong"/>
          <w:rFonts w:ascii="Arial" w:hAnsi="Arial" w:cs="Arial"/>
          <w:b w:val="0"/>
          <w:bCs w:val="0"/>
          <w:color w:val="000000"/>
        </w:rPr>
        <w:t xml:space="preserve"> NEPA review must be completed by the FCC </w:t>
      </w:r>
      <w:r w:rsidR="0043220D" w:rsidRPr="00061608">
        <w:rPr>
          <w:rStyle w:val="Strong"/>
          <w:rFonts w:ascii="Arial" w:hAnsi="Arial" w:cs="Arial"/>
          <w:b w:val="0"/>
          <w:bCs w:val="0"/>
          <w:color w:val="000000"/>
        </w:rPr>
        <w:t xml:space="preserve">regarding any Crown Castle and </w:t>
      </w:r>
      <w:proofErr w:type="spellStart"/>
      <w:r w:rsidR="0043220D" w:rsidRPr="00061608">
        <w:rPr>
          <w:rStyle w:val="Strong"/>
          <w:rFonts w:ascii="Arial" w:hAnsi="Arial" w:cs="Arial"/>
          <w:b w:val="0"/>
          <w:bCs w:val="0"/>
          <w:color w:val="000000"/>
        </w:rPr>
        <w:t>Nexius</w:t>
      </w:r>
      <w:proofErr w:type="spellEnd"/>
      <w:r w:rsidR="00E253BF" w:rsidRPr="00061608">
        <w:rPr>
          <w:rStyle w:val="Strong"/>
          <w:rFonts w:ascii="Arial" w:hAnsi="Arial" w:cs="Arial"/>
          <w:b w:val="0"/>
          <w:bCs w:val="0"/>
          <w:color w:val="000000"/>
        </w:rPr>
        <w:t>, but not limited to these,</w:t>
      </w:r>
      <w:r w:rsidRPr="00061608">
        <w:rPr>
          <w:rStyle w:val="Strong"/>
          <w:rFonts w:ascii="Arial" w:hAnsi="Arial" w:cs="Arial"/>
          <w:b w:val="0"/>
          <w:bCs w:val="0"/>
          <w:color w:val="000000"/>
        </w:rPr>
        <w:t xml:space="preserve"> proposed densif</w:t>
      </w:r>
      <w:r w:rsidR="0043220D" w:rsidRPr="00061608">
        <w:rPr>
          <w:rStyle w:val="Strong"/>
          <w:rFonts w:ascii="Arial" w:hAnsi="Arial" w:cs="Arial"/>
          <w:b w:val="0"/>
          <w:bCs w:val="0"/>
          <w:color w:val="000000"/>
        </w:rPr>
        <w:t>ication of any 5G/4</w:t>
      </w:r>
      <w:r w:rsidR="00E253BF" w:rsidRPr="00061608">
        <w:rPr>
          <w:rStyle w:val="Strong"/>
          <w:rFonts w:ascii="Arial" w:hAnsi="Arial" w:cs="Arial"/>
          <w:b w:val="0"/>
          <w:bCs w:val="0"/>
          <w:color w:val="000000"/>
        </w:rPr>
        <w:t>G</w:t>
      </w:r>
      <w:r w:rsidR="0043220D" w:rsidRPr="00061608">
        <w:rPr>
          <w:rStyle w:val="Strong"/>
          <w:rFonts w:ascii="Arial" w:hAnsi="Arial" w:cs="Arial"/>
          <w:b w:val="0"/>
          <w:bCs w:val="0"/>
          <w:color w:val="000000"/>
        </w:rPr>
        <w:t xml:space="preserve"> </w:t>
      </w:r>
      <w:r w:rsidR="00E253BF" w:rsidRPr="00061608">
        <w:rPr>
          <w:rStyle w:val="Strong"/>
          <w:rFonts w:ascii="Arial" w:hAnsi="Arial" w:cs="Arial"/>
          <w:b w:val="0"/>
          <w:bCs w:val="0"/>
          <w:color w:val="000000"/>
        </w:rPr>
        <w:t>WTF</w:t>
      </w:r>
      <w:r w:rsidR="00735808" w:rsidRPr="00061608">
        <w:rPr>
          <w:rStyle w:val="Strong"/>
          <w:rFonts w:ascii="Arial" w:hAnsi="Arial" w:cs="Arial"/>
          <w:b w:val="0"/>
          <w:bCs w:val="0"/>
          <w:color w:val="000000"/>
        </w:rPr>
        <w:t xml:space="preserve"> and “Small” WTF</w:t>
      </w:r>
      <w:r w:rsidR="0043220D" w:rsidRPr="00061608">
        <w:rPr>
          <w:rStyle w:val="Strong"/>
          <w:rFonts w:ascii="Arial" w:hAnsi="Arial" w:cs="Arial"/>
          <w:b w:val="0"/>
          <w:bCs w:val="0"/>
          <w:color w:val="000000"/>
        </w:rPr>
        <w:t xml:space="preserve">.  </w:t>
      </w:r>
      <w:r w:rsidR="00735808" w:rsidRPr="00061608">
        <w:rPr>
          <w:rFonts w:ascii="Arial" w:hAnsi="Arial" w:cs="Arial"/>
          <w:color w:val="000000"/>
        </w:rPr>
        <w:t>All processing</w:t>
      </w:r>
      <w:r w:rsidRPr="00061608">
        <w:rPr>
          <w:rFonts w:ascii="Arial" w:hAnsi="Arial" w:cs="Arial"/>
          <w:color w:val="000000"/>
        </w:rPr>
        <w:t xml:space="preserve"> must </w:t>
      </w:r>
      <w:r w:rsidR="0043220D" w:rsidRPr="00061608">
        <w:rPr>
          <w:rFonts w:ascii="Arial" w:hAnsi="Arial" w:cs="Arial"/>
          <w:color w:val="000000"/>
        </w:rPr>
        <w:t xml:space="preserve">be put on hold until the applicant </w:t>
      </w:r>
      <w:r w:rsidRPr="00061608">
        <w:rPr>
          <w:rFonts w:ascii="Arial" w:hAnsi="Arial" w:cs="Arial"/>
          <w:color w:val="000000"/>
        </w:rPr>
        <w:t>can demonstrate with substantial written evidence</w:t>
      </w:r>
      <w:r w:rsidR="00061608" w:rsidRPr="00061608">
        <w:rPr>
          <w:rFonts w:ascii="Arial" w:hAnsi="Arial" w:cs="Arial"/>
          <w:color w:val="000000"/>
        </w:rPr>
        <w:t xml:space="preserve"> </w:t>
      </w:r>
      <w:r w:rsidRPr="00061608">
        <w:rPr>
          <w:rFonts w:ascii="Arial" w:hAnsi="Arial" w:cs="Arial"/>
          <w:color w:val="000000"/>
        </w:rPr>
        <w:t>in</w:t>
      </w:r>
      <w:r w:rsidR="0043220D" w:rsidRPr="00061608">
        <w:rPr>
          <w:rFonts w:ascii="Arial" w:hAnsi="Arial" w:cs="Arial"/>
          <w:color w:val="000000"/>
        </w:rPr>
        <w:t>to</w:t>
      </w:r>
      <w:r w:rsidRPr="00061608">
        <w:rPr>
          <w:rFonts w:ascii="Arial" w:hAnsi="Arial" w:cs="Arial"/>
          <w:color w:val="000000"/>
        </w:rPr>
        <w:t xml:space="preserve"> the public record that the FCC has completed its NEPA review.</w:t>
      </w:r>
    </w:p>
    <w:p w14:paraId="40C33A22" w14:textId="1CFC25B8" w:rsidR="00735808" w:rsidRPr="00061608" w:rsidRDefault="00735808" w:rsidP="00735808">
      <w:pPr>
        <w:rPr>
          <w:rFonts w:ascii="Arial" w:eastAsia="Times New Roman" w:hAnsi="Arial" w:cs="Arial"/>
          <w:color w:val="000000"/>
        </w:rPr>
      </w:pPr>
      <w:r w:rsidRPr="00061608">
        <w:rPr>
          <w:rFonts w:ascii="Arial" w:eastAsia="Times New Roman" w:hAnsi="Arial" w:cs="Arial"/>
          <w:color w:val="000000"/>
        </w:rPr>
        <w:t xml:space="preserve">In addition, because of the ministerial approach, the public has been left out of the development and decision-making process.  As a result of the NEPA requirements the FCC shot clock deadline need also be vacated and instead public involvement be brought back as </w:t>
      </w:r>
      <w:r w:rsidR="00061608" w:rsidRPr="00061608">
        <w:rPr>
          <w:rFonts w:ascii="Arial" w:eastAsia="Times New Roman" w:hAnsi="Arial" w:cs="Arial"/>
          <w:color w:val="000000"/>
        </w:rPr>
        <w:t xml:space="preserve">a vital </w:t>
      </w:r>
      <w:r w:rsidRPr="00061608">
        <w:rPr>
          <w:rFonts w:ascii="Arial" w:eastAsia="Times New Roman" w:hAnsi="Arial" w:cs="Arial"/>
          <w:color w:val="000000"/>
        </w:rPr>
        <w:t>part of the review process.  Public workshops shall be held to inform, educate, and opportunity given for comment and input as well as review</w:t>
      </w:r>
      <w:r w:rsidR="00061608" w:rsidRPr="00061608">
        <w:rPr>
          <w:rFonts w:ascii="Arial" w:eastAsia="Times New Roman" w:hAnsi="Arial" w:cs="Arial"/>
          <w:color w:val="000000"/>
        </w:rPr>
        <w:t xml:space="preserve"> and comment</w:t>
      </w:r>
      <w:r w:rsidRPr="00061608">
        <w:rPr>
          <w:rFonts w:ascii="Arial" w:eastAsia="Times New Roman" w:hAnsi="Arial" w:cs="Arial"/>
          <w:color w:val="000000"/>
        </w:rPr>
        <w:t xml:space="preserve"> of any data and RF reports and </w:t>
      </w:r>
      <w:r w:rsidR="00061608" w:rsidRPr="00061608">
        <w:rPr>
          <w:rFonts w:ascii="Arial" w:eastAsia="Times New Roman" w:hAnsi="Arial" w:cs="Arial"/>
          <w:color w:val="000000"/>
        </w:rPr>
        <w:t xml:space="preserve">all proposed </w:t>
      </w:r>
      <w:r w:rsidRPr="00061608">
        <w:rPr>
          <w:rFonts w:ascii="Arial" w:eastAsia="Times New Roman" w:hAnsi="Arial" w:cs="Arial"/>
          <w:color w:val="000000"/>
        </w:rPr>
        <w:t>locations, but not limited to these.  All WTF related subject matter and information shall be accessible on the City website and public notification be given, and notices mailed to residents living within 500’ radius of any proposed WTF.</w:t>
      </w:r>
    </w:p>
    <w:p w14:paraId="57DD7687" w14:textId="77777777" w:rsidR="00735808" w:rsidRPr="00061608" w:rsidRDefault="00735808" w:rsidP="00735808">
      <w:pPr>
        <w:rPr>
          <w:rFonts w:ascii="Arial" w:eastAsia="Times New Roman" w:hAnsi="Arial" w:cs="Arial"/>
          <w:color w:val="000000"/>
        </w:rPr>
      </w:pPr>
    </w:p>
    <w:p w14:paraId="44F95386" w14:textId="5128C7A5" w:rsidR="005D06FB" w:rsidRPr="00A46DE9" w:rsidRDefault="00A46DE9" w:rsidP="002D5843">
      <w:pPr>
        <w:rPr>
          <w:rFonts w:ascii="Arial" w:eastAsia="Times New Roman" w:hAnsi="Arial" w:cs="Arial"/>
          <w:color w:val="000000" w:themeColor="text1"/>
        </w:rPr>
      </w:pPr>
      <w:r>
        <w:rPr>
          <w:rFonts w:ascii="Arial" w:eastAsia="Times New Roman" w:hAnsi="Arial" w:cs="Arial"/>
          <w:color w:val="000000" w:themeColor="text1"/>
        </w:rPr>
        <w:t>Below is the brief that argues for the Ninth Circuit Judges to Vacate the following 2018 FCC Orders:</w:t>
      </w:r>
    </w:p>
    <w:p w14:paraId="6631107A" w14:textId="77777777" w:rsidR="00A46DE9" w:rsidRPr="00752154" w:rsidRDefault="00A46DE9" w:rsidP="002D5843">
      <w:pPr>
        <w:rPr>
          <w:rFonts w:ascii="Arial" w:eastAsia="Times New Roman" w:hAnsi="Arial" w:cs="Arial"/>
          <w:color w:val="000000"/>
        </w:rPr>
      </w:pPr>
    </w:p>
    <w:p w14:paraId="4DFD18E8" w14:textId="39FE994A" w:rsidR="00752154" w:rsidRPr="00752154" w:rsidRDefault="00752154" w:rsidP="00752154">
      <w:pPr>
        <w:pStyle w:val="Heading4"/>
        <w:rPr>
          <w:rFonts w:ascii="Arial" w:hAnsi="Arial" w:cs="Arial"/>
          <w:color w:val="000000"/>
        </w:rPr>
      </w:pPr>
      <w:r w:rsidRPr="00C40F08">
        <w:rPr>
          <w:rFonts w:ascii="Arial" w:hAnsi="Arial" w:cs="Arial"/>
          <w:b/>
          <w:bCs/>
          <w:i w:val="0"/>
          <w:iCs w:val="0"/>
          <w:color w:val="000000"/>
        </w:rPr>
        <w:t>City of New York for Case 19-7014</w:t>
      </w:r>
      <w:r w:rsidR="00A46DE9">
        <w:rPr>
          <w:rFonts w:ascii="Arial" w:hAnsi="Arial" w:cs="Arial"/>
          <w:b/>
          <w:bCs/>
          <w:i w:val="0"/>
          <w:iCs w:val="0"/>
          <w:color w:val="000000"/>
        </w:rPr>
        <w:t>4</w:t>
      </w:r>
    </w:p>
    <w:p w14:paraId="01B16C4E" w14:textId="6E4A8DDB" w:rsidR="00752154" w:rsidRDefault="00752154" w:rsidP="00752154">
      <w:pPr>
        <w:rPr>
          <w:rFonts w:ascii="Arial" w:hAnsi="Arial" w:cs="Arial"/>
          <w:color w:val="000000"/>
        </w:rPr>
      </w:pPr>
      <w:r w:rsidRPr="00752154">
        <w:rPr>
          <w:rFonts w:ascii="Arial" w:hAnsi="Arial" w:cs="Arial"/>
          <w:color w:val="000000"/>
        </w:rPr>
        <w:t>Brief for Case 19-70123: Intervenors THE CITY OF NEW YORK and NATOA, et al. v FCC</w:t>
      </w:r>
    </w:p>
    <w:p w14:paraId="3D310F42" w14:textId="1E2324D4" w:rsidR="00A46DE9" w:rsidRDefault="00A46DE9" w:rsidP="00752154">
      <w:pPr>
        <w:rPr>
          <w:rFonts w:ascii="Arial" w:hAnsi="Arial" w:cs="Arial"/>
          <w:color w:val="000000"/>
        </w:rPr>
      </w:pPr>
    </w:p>
    <w:p w14:paraId="5ED875CB" w14:textId="77777777" w:rsidR="00A46DE9" w:rsidRDefault="00A46DE9" w:rsidP="00752154">
      <w:pPr>
        <w:rPr>
          <w:rFonts w:ascii="Arial" w:hAnsi="Arial" w:cs="Arial"/>
          <w:color w:val="000000"/>
        </w:rPr>
      </w:pPr>
      <w:r>
        <w:rPr>
          <w:rFonts w:ascii="Arial" w:hAnsi="Arial" w:cs="Arial"/>
          <w:color w:val="000000"/>
        </w:rPr>
        <w:t xml:space="preserve">The attached brief is here:  </w:t>
      </w:r>
    </w:p>
    <w:p w14:paraId="4548A84A" w14:textId="7B4B0550" w:rsidR="00A46DE9" w:rsidRDefault="002D3A87" w:rsidP="00752154">
      <w:pPr>
        <w:rPr>
          <w:rFonts w:ascii="Arial" w:hAnsi="Arial" w:cs="Arial"/>
          <w:color w:val="000000"/>
        </w:rPr>
      </w:pPr>
      <w:hyperlink r:id="rId5" w:history="1">
        <w:r w:rsidR="00A46DE9" w:rsidRPr="005A3A1A">
          <w:rPr>
            <w:rStyle w:val="Hyperlink"/>
            <w:rFonts w:ascii="Arial" w:hAnsi="Arial" w:cs="Arial"/>
          </w:rPr>
          <w:t>https://www.natoa.org/documents/NYC%20NATOA%20Intervenor%20Brief.pdf</w:t>
        </w:r>
      </w:hyperlink>
    </w:p>
    <w:p w14:paraId="74317DD9" w14:textId="1E08875F" w:rsidR="00752154" w:rsidRPr="00752154" w:rsidRDefault="00752154" w:rsidP="00752154">
      <w:pPr>
        <w:pStyle w:val="NormalWeb"/>
        <w:numPr>
          <w:ilvl w:val="0"/>
          <w:numId w:val="2"/>
        </w:numPr>
        <w:rPr>
          <w:rFonts w:ascii="Arial" w:hAnsi="Arial" w:cs="Arial"/>
          <w:color w:val="000000"/>
        </w:rPr>
      </w:pPr>
      <w:hyperlink r:id="rId6" w:history="1">
        <w:r w:rsidRPr="00752154">
          <w:rPr>
            <w:rStyle w:val="Hyperlink"/>
            <w:rFonts w:ascii="Arial" w:hAnsi="Arial" w:cs="Arial"/>
            <w:b/>
            <w:bCs/>
          </w:rPr>
          <w:t>FCC 18-111</w:t>
        </w:r>
      </w:hyperlink>
      <w:r w:rsidR="00C40F08">
        <w:rPr>
          <w:rStyle w:val="apple-converted-space"/>
          <w:rFonts w:ascii="Arial" w:hAnsi="Arial" w:cs="Arial"/>
          <w:b/>
          <w:bCs/>
          <w:color w:val="000000"/>
        </w:rPr>
        <w:t xml:space="preserve">  </w:t>
      </w:r>
      <w:r w:rsidRPr="00752154">
        <w:rPr>
          <w:rStyle w:val="Strong"/>
          <w:rFonts w:ascii="Arial" w:hAnsi="Arial" w:cs="Arial"/>
          <w:color w:val="000000"/>
        </w:rPr>
        <w:t>the “Moratorium Order”</w:t>
      </w:r>
      <w:r w:rsidR="00C40F08">
        <w:rPr>
          <w:rStyle w:val="Strong"/>
          <w:rFonts w:ascii="Arial" w:hAnsi="Arial" w:cs="Arial"/>
          <w:color w:val="000000"/>
        </w:rPr>
        <w:t xml:space="preserve"> -</w:t>
      </w:r>
      <w:r w:rsidRPr="00752154">
        <w:rPr>
          <w:rStyle w:val="apple-converted-space"/>
          <w:rFonts w:ascii="Arial" w:hAnsi="Arial" w:cs="Arial"/>
          <w:color w:val="000000"/>
        </w:rPr>
        <w:t> </w:t>
      </w:r>
      <w:r w:rsidRPr="00752154">
        <w:rPr>
          <w:rFonts w:ascii="Arial" w:hAnsi="Arial" w:cs="Arial"/>
          <w:color w:val="000000"/>
        </w:rPr>
        <w:t>Accelerating Wireline Broadband Deployment by Removing Barriers to Infrastructure Investment, Third Report and Order and Declaratory Ruling FCC 18-111, WC Docket No. 17-84, WT Docket No. 17-79 (rel. Aug. 3, 2018).</w:t>
      </w:r>
    </w:p>
    <w:p w14:paraId="29B5F53B" w14:textId="36649EE5" w:rsidR="00752154" w:rsidRPr="00752154" w:rsidRDefault="002D3A87" w:rsidP="00752154">
      <w:pPr>
        <w:pStyle w:val="NormalWeb"/>
        <w:numPr>
          <w:ilvl w:val="0"/>
          <w:numId w:val="2"/>
        </w:numPr>
        <w:rPr>
          <w:rFonts w:ascii="Arial" w:hAnsi="Arial" w:cs="Arial"/>
          <w:color w:val="000000"/>
        </w:rPr>
      </w:pPr>
      <w:hyperlink r:id="rId7" w:history="1">
        <w:r w:rsidR="00752154" w:rsidRPr="00752154">
          <w:rPr>
            <w:rStyle w:val="Hyperlink"/>
            <w:rFonts w:ascii="Arial" w:hAnsi="Arial" w:cs="Arial"/>
            <w:b/>
            <w:bCs/>
          </w:rPr>
          <w:t>FCC 18-133</w:t>
        </w:r>
      </w:hyperlink>
      <w:r w:rsidR="00C40F08">
        <w:rPr>
          <w:rStyle w:val="apple-converted-space"/>
          <w:rFonts w:ascii="Arial" w:hAnsi="Arial" w:cs="Arial"/>
          <w:b/>
          <w:bCs/>
          <w:color w:val="000000"/>
        </w:rPr>
        <w:t xml:space="preserve">  </w:t>
      </w:r>
      <w:r w:rsidR="00752154" w:rsidRPr="00752154">
        <w:rPr>
          <w:rStyle w:val="Strong"/>
          <w:rFonts w:ascii="Arial" w:hAnsi="Arial" w:cs="Arial"/>
          <w:color w:val="000000"/>
        </w:rPr>
        <w:t xml:space="preserve">the “Streamline Small Cell Deployment Order” </w:t>
      </w:r>
      <w:r w:rsidR="00C40F08">
        <w:rPr>
          <w:rStyle w:val="Strong"/>
          <w:rFonts w:ascii="Arial" w:hAnsi="Arial" w:cs="Arial"/>
          <w:color w:val="000000"/>
        </w:rPr>
        <w:t xml:space="preserve">- </w:t>
      </w:r>
      <w:r w:rsidR="00752154" w:rsidRPr="00752154">
        <w:rPr>
          <w:rFonts w:ascii="Arial" w:hAnsi="Arial" w:cs="Arial"/>
          <w:color w:val="000000"/>
        </w:rPr>
        <w:t xml:space="preserve">Accelerating Wireless Broadband Deployment by Removing Barriers to Infrastructure </w:t>
      </w:r>
      <w:r w:rsidR="00752154" w:rsidRPr="00752154">
        <w:rPr>
          <w:rFonts w:ascii="Arial" w:hAnsi="Arial" w:cs="Arial"/>
          <w:color w:val="000000"/>
        </w:rPr>
        <w:lastRenderedPageBreak/>
        <w:t>Investment, Declaratory Ruling and Third Report and Order, FCC 18-133, WT Docket No. 17-79, WC Docket No. 17-84 (rel. Sept. 27, 2018).</w:t>
      </w:r>
    </w:p>
    <w:p w14:paraId="448D949A" w14:textId="423C4353" w:rsidR="00752154" w:rsidRPr="00752154" w:rsidRDefault="00752154" w:rsidP="00752154">
      <w:pPr>
        <w:pStyle w:val="Heading4"/>
        <w:rPr>
          <w:rFonts w:ascii="Arial" w:hAnsi="Arial" w:cs="Arial"/>
          <w:b/>
          <w:bCs/>
          <w:i w:val="0"/>
          <w:iCs w:val="0"/>
          <w:color w:val="000000" w:themeColor="text1"/>
        </w:rPr>
      </w:pPr>
      <w:r w:rsidRPr="00752154">
        <w:rPr>
          <w:rFonts w:ascii="Arial" w:hAnsi="Arial" w:cs="Arial"/>
          <w:b/>
          <w:bCs/>
          <w:i w:val="0"/>
          <w:iCs w:val="0"/>
          <w:color w:val="000000" w:themeColor="text1"/>
        </w:rPr>
        <w:t>Key Quotes from the Brief</w:t>
      </w:r>
      <w:r>
        <w:rPr>
          <w:rFonts w:ascii="Arial" w:hAnsi="Arial" w:cs="Arial"/>
          <w:b/>
          <w:bCs/>
          <w:i w:val="0"/>
          <w:iCs w:val="0"/>
          <w:color w:val="000000" w:themeColor="text1"/>
        </w:rPr>
        <w:t>:</w:t>
      </w:r>
    </w:p>
    <w:p w14:paraId="068AAC52" w14:textId="307BC2C0" w:rsidR="00752154" w:rsidRPr="00752154" w:rsidRDefault="00752154" w:rsidP="00752154">
      <w:pPr>
        <w:pStyle w:val="NormalWeb"/>
        <w:rPr>
          <w:rFonts w:ascii="Arial" w:hAnsi="Arial" w:cs="Arial"/>
          <w:color w:val="000000"/>
        </w:rPr>
      </w:pPr>
      <w:r w:rsidRPr="00C40F08">
        <w:rPr>
          <w:rStyle w:val="Strong"/>
          <w:rFonts w:ascii="Arial" w:hAnsi="Arial" w:cs="Arial"/>
          <w:b w:val="0"/>
          <w:bCs w:val="0"/>
          <w:color w:val="000000"/>
        </w:rPr>
        <w:t>The FCC’s general authority to interpret ambiguities in the 1996 Telecommunications Act (the Act) cannot support the sweep of these Orders</w:t>
      </w:r>
      <w:r w:rsidRPr="00C40F08">
        <w:rPr>
          <w:rFonts w:ascii="Arial" w:hAnsi="Arial" w:cs="Arial"/>
          <w:b/>
          <w:bCs/>
          <w:color w:val="000000"/>
        </w:rPr>
        <w:t>.</w:t>
      </w:r>
      <w:r w:rsidR="00C40F08">
        <w:rPr>
          <w:rFonts w:ascii="Arial" w:hAnsi="Arial" w:cs="Arial"/>
          <w:b/>
          <w:bCs/>
          <w:color w:val="000000"/>
        </w:rPr>
        <w:t xml:space="preserve"> </w:t>
      </w:r>
      <w:r w:rsidRPr="00752154">
        <w:rPr>
          <w:rFonts w:ascii="Arial" w:hAnsi="Arial" w:cs="Arial"/>
          <w:color w:val="000000"/>
        </w:rPr>
        <w:t xml:space="preserve"> Settled Supreme Court precedent bars an agency from intruding on areas of traditional local concern and pushing up against constitutional limits without a clear statement from Congress vesting it with such authority . . . the Act lacks any clear statement authorizing such steps, but Congress expressly preserved local governments’ authority to manage and receive reasonable compensation for use of their rights-of-way, as well as their authority over the “placement, construction, and modification” of personal wireless-service facilities. Thus, the FCC is not entitled to deference, and its ultra vires orders must be vacated</w:t>
      </w:r>
      <w:r w:rsidRPr="00752154">
        <w:rPr>
          <w:rStyle w:val="apple-converted-space"/>
          <w:rFonts w:ascii="Arial" w:hAnsi="Arial" w:cs="Arial"/>
          <w:color w:val="000000"/>
        </w:rPr>
        <w:t> </w:t>
      </w:r>
    </w:p>
    <w:p w14:paraId="11016723"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 . . House and Senate conferees decided to generally “preserve the authority of State and local governments over zoning and land use matters.” Sprint, 543 F.3d at 576 (citing H.R. Rep. No. 104-204(I), § 107, at 94 (1995); H.R. Rep. No. 104-458, § 704, at 207-08 (1996) (Conf. Rep.); see also T-Mobile, 572 F.3d at 992. "</w:t>
      </w:r>
    </w:p>
    <w:p w14:paraId="7DDE56AB"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The Act is far less elastic than the FCC claims and that the FCC’s reading bends the phrase common to both Sections 253 and 332—“effect of prohibiting”—well beyond its breaking point . . . the Orders must be vacated for a more fundamental reason: they exceed the FCC’s authority under the Act . . . Under Chevron’s two-step framework, the first question a court asks when confronted with a challenge to an agency action is whether the statute is clear, based on the text, legislative intent, and canons of statutory interpretation. If the statute is clear, the statute answers the question. If it is not, at the second step, agencies like the FCC have authority to interpret ambiguities and are due deference on their resolution of the statute’s gray areas</w:t>
      </w:r>
    </w:p>
    <w:p w14:paraId="55AFDDB9"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xml:space="preserve">. . . the Orders raise serious takings questions, infringe on local police power, and potentially commandeer local officials . . . There must be a clear indication that Congress intended to allow the agency to intrude on core areas of local concern or create potential takings and commandeering questions before moving to Chevron’s second step. Solid Waste Agency Northern Cook </w:t>
      </w:r>
      <w:proofErr w:type="spellStart"/>
      <w:r w:rsidRPr="00752154">
        <w:rPr>
          <w:rFonts w:ascii="Arial" w:hAnsi="Arial" w:cs="Arial"/>
          <w:color w:val="000000"/>
        </w:rPr>
        <w:t>Cnty</w:t>
      </w:r>
      <w:proofErr w:type="spellEnd"/>
      <w:r w:rsidRPr="00752154">
        <w:rPr>
          <w:rFonts w:ascii="Arial" w:hAnsi="Arial" w:cs="Arial"/>
          <w:color w:val="000000"/>
        </w:rPr>
        <w:t xml:space="preserve">. v. United States Army Corps of </w:t>
      </w:r>
      <w:proofErr w:type="spellStart"/>
      <w:r w:rsidRPr="00752154">
        <w:rPr>
          <w:rFonts w:ascii="Arial" w:hAnsi="Arial" w:cs="Arial"/>
          <w:color w:val="000000"/>
        </w:rPr>
        <w:t>Eng’rs</w:t>
      </w:r>
      <w:proofErr w:type="spellEnd"/>
      <w:r w:rsidRPr="00752154">
        <w:rPr>
          <w:rFonts w:ascii="Arial" w:hAnsi="Arial" w:cs="Arial"/>
          <w:color w:val="000000"/>
        </w:rPr>
        <w:t>, 531 U.S. 159, 172–73 (2001)"</w:t>
      </w:r>
    </w:p>
    <w:p w14:paraId="56D9E8EF"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w:t>
      </w:r>
      <w:r w:rsidRPr="00C40F08">
        <w:rPr>
          <w:rFonts w:ascii="Arial" w:hAnsi="Arial" w:cs="Arial"/>
          <w:color w:val="000000"/>
        </w:rPr>
        <w:t xml:space="preserve"> .</w:t>
      </w:r>
      <w:r w:rsidRPr="00C40F08">
        <w:rPr>
          <w:rStyle w:val="apple-converted-space"/>
          <w:rFonts w:ascii="Arial" w:hAnsi="Arial" w:cs="Arial"/>
          <w:b/>
          <w:bCs/>
          <w:color w:val="000000"/>
        </w:rPr>
        <w:t>  </w:t>
      </w:r>
      <w:r w:rsidRPr="00C40F08">
        <w:rPr>
          <w:rStyle w:val="Strong"/>
          <w:rFonts w:ascii="Arial" w:hAnsi="Arial" w:cs="Arial"/>
          <w:b w:val="0"/>
          <w:bCs w:val="0"/>
          <w:color w:val="000000"/>
        </w:rPr>
        <w:t>in Section 253(c), Congress expressly preserved local governments’ authority to “manage the public rights-of-way”</w:t>
      </w:r>
      <w:r w:rsidRPr="00752154">
        <w:rPr>
          <w:rStyle w:val="apple-converted-space"/>
          <w:rFonts w:ascii="Arial" w:hAnsi="Arial" w:cs="Arial"/>
          <w:color w:val="000000"/>
        </w:rPr>
        <w:t> </w:t>
      </w:r>
      <w:r w:rsidRPr="00752154">
        <w:rPr>
          <w:rFonts w:ascii="Arial" w:hAnsi="Arial" w:cs="Arial"/>
          <w:color w:val="000000"/>
        </w:rPr>
        <w:t>and “require fair and reasonable compensation from telecommunications providers” for access to their rights-of-way. And Congress expressly withheld authority from the FCC over the “placement, construction, and modification” of wireless service facilities in Section 332(c)(7)(A), except in limited circumstances</w:t>
      </w:r>
    </w:p>
    <w:p w14:paraId="00C9F3CB"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xml:space="preserve">. . . Such an astounding degree of interference with local-government policing, property, and personnel may even exceed Congress’s legislative power. See Murphy v. NCAA, 138 S. Ct. 1461, 1476, 1479 (2018) (explaining that “[t]he legislative powers granted to </w:t>
      </w:r>
      <w:r w:rsidRPr="00752154">
        <w:rPr>
          <w:rFonts w:ascii="Arial" w:hAnsi="Arial" w:cs="Arial"/>
          <w:color w:val="000000"/>
        </w:rPr>
        <w:lastRenderedPageBreak/>
        <w:t>Congress are sizable, but they are not unlimited,” and that “all other legislative power is reserved for the States, as the Tenth Amendment confirms”)</w:t>
      </w:r>
    </w:p>
    <w:p w14:paraId="5E9A537D"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 . local governments have traditionally received “great latitude under their police powers” to pass laws to ensure the “</w:t>
      </w:r>
      <w:r w:rsidRPr="00C40F08">
        <w:rPr>
          <w:rStyle w:val="Strong"/>
          <w:rFonts w:ascii="Arial" w:hAnsi="Arial" w:cs="Arial"/>
          <w:b w:val="0"/>
          <w:bCs w:val="0"/>
          <w:color w:val="000000"/>
        </w:rPr>
        <w:t>protection of the lives, limbs, health, comfort, and quiet of all persons</w:t>
      </w:r>
      <w:r w:rsidRPr="00752154">
        <w:rPr>
          <w:rFonts w:ascii="Arial" w:hAnsi="Arial" w:cs="Arial"/>
          <w:color w:val="000000"/>
        </w:rPr>
        <w:t>.” Gonzales v. Oregon, 546 U.S. 243, 270 (2006)</w:t>
      </w:r>
    </w:p>
    <w:p w14:paraId="6181CAB6" w14:textId="044300EF" w:rsidR="00752154" w:rsidRPr="00752154" w:rsidRDefault="00752154" w:rsidP="00752154">
      <w:pPr>
        <w:pStyle w:val="NormalWeb"/>
        <w:rPr>
          <w:rFonts w:ascii="Arial" w:hAnsi="Arial" w:cs="Arial"/>
          <w:color w:val="000000"/>
        </w:rPr>
      </w:pPr>
      <w:r w:rsidRPr="00752154">
        <w:rPr>
          <w:rFonts w:ascii="Arial" w:hAnsi="Arial" w:cs="Arial"/>
          <w:color w:val="000000"/>
        </w:rPr>
        <w:t>. . .</w:t>
      </w:r>
      <w:r w:rsidRPr="00752154">
        <w:rPr>
          <w:rStyle w:val="apple-converted-space"/>
          <w:rFonts w:ascii="Arial" w:hAnsi="Arial" w:cs="Arial"/>
          <w:color w:val="000000"/>
        </w:rPr>
        <w:t> </w:t>
      </w:r>
      <w:r w:rsidRPr="00C40F08">
        <w:rPr>
          <w:rStyle w:val="Strong"/>
          <w:rFonts w:ascii="Arial" w:hAnsi="Arial" w:cs="Arial"/>
          <w:b w:val="0"/>
          <w:bCs w:val="0"/>
          <w:color w:val="000000"/>
        </w:rPr>
        <w:t>The Supreme Court has recently reiterated that the anticommandeering doctrine bars the federal government from forcing local governments to administer federal regulatory programs</w:t>
      </w:r>
      <w:r w:rsidRPr="00752154">
        <w:rPr>
          <w:rFonts w:ascii="Arial" w:hAnsi="Arial" w:cs="Arial"/>
          <w:color w:val="000000"/>
        </w:rPr>
        <w:t>. See Murphy, 138 S. Ct. at 1477. The Orders try to do just that by seizing control over existing local machinery for processing applications to open streets and install items on sidewalks and city-owned poles. The Orders direct officials to ignore local regulations, constrain their ability to reject or delay approving applications, and set priorities for local decision makers. See also Printz v. United States, 521 U.S. 898, 925–26 (1997) (federal law cannot compel local law-enforcement officials to implement a federal program by carrying out background checks under strict time</w:t>
      </w:r>
      <w:r>
        <w:rPr>
          <w:rFonts w:ascii="Arial" w:hAnsi="Arial" w:cs="Arial"/>
          <w:color w:val="000000"/>
        </w:rPr>
        <w:t xml:space="preserve"> </w:t>
      </w:r>
      <w:r w:rsidRPr="00752154">
        <w:rPr>
          <w:rFonts w:ascii="Arial" w:hAnsi="Arial" w:cs="Arial"/>
          <w:color w:val="000000"/>
        </w:rPr>
        <w:t>limits). "</w:t>
      </w:r>
      <w:r w:rsidRPr="00752154">
        <w:rPr>
          <w:rStyle w:val="apple-converted-space"/>
          <w:rFonts w:ascii="Arial" w:hAnsi="Arial" w:cs="Arial"/>
          <w:color w:val="000000"/>
        </w:rPr>
        <w:t> </w:t>
      </w:r>
    </w:p>
    <w:p w14:paraId="4B4A876D" w14:textId="057A2B6F" w:rsidR="00752154" w:rsidRPr="00752154" w:rsidRDefault="00752154" w:rsidP="00752154">
      <w:pPr>
        <w:pStyle w:val="NormalWeb"/>
        <w:rPr>
          <w:rFonts w:ascii="Arial" w:hAnsi="Arial" w:cs="Arial"/>
          <w:color w:val="000000"/>
        </w:rPr>
      </w:pPr>
      <w:r w:rsidRPr="00752154">
        <w:rPr>
          <w:rFonts w:ascii="Arial" w:hAnsi="Arial" w:cs="Arial"/>
          <w:color w:val="000000"/>
        </w:rPr>
        <w:t>. . . the notion that agencies are more likely to get the answer right, given their expertise, does not apply to questions of basic statutory construction</w:t>
      </w:r>
      <w:r>
        <w:rPr>
          <w:rFonts w:ascii="Arial" w:hAnsi="Arial" w:cs="Arial"/>
          <w:color w:val="000000"/>
        </w:rPr>
        <w:t xml:space="preserve"> </w:t>
      </w:r>
      <w:r w:rsidRPr="00752154">
        <w:rPr>
          <w:rFonts w:ascii="Arial" w:hAnsi="Arial" w:cs="Arial"/>
          <w:color w:val="000000"/>
        </w:rPr>
        <w:t>which is generally the judiciary’s province. See INS v. Cardoza-Fonseca, 480 U.S. 421, 446–48 (1987) (pure questions of statutory construction are for the courts, while case-by-case questions of interpretation are for agencies).</w:t>
      </w:r>
    </w:p>
    <w:p w14:paraId="053A3C3D"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 . .</w:t>
      </w:r>
      <w:r w:rsidRPr="00752154">
        <w:rPr>
          <w:rStyle w:val="apple-converted-space"/>
          <w:rFonts w:ascii="Arial" w:hAnsi="Arial" w:cs="Arial"/>
          <w:color w:val="000000"/>
        </w:rPr>
        <w:t> </w:t>
      </w:r>
      <w:r w:rsidRPr="00C40F08">
        <w:rPr>
          <w:rStyle w:val="Strong"/>
          <w:rFonts w:ascii="Arial" w:hAnsi="Arial" w:cs="Arial"/>
          <w:b w:val="0"/>
          <w:bCs w:val="0"/>
          <w:color w:val="000000"/>
        </w:rPr>
        <w:t>Congress was clear that it did not intend to allow the FCC to reach local rights-of-way</w:t>
      </w:r>
      <w:r w:rsidRPr="00752154">
        <w:rPr>
          <w:rFonts w:ascii="Arial" w:hAnsi="Arial" w:cs="Arial"/>
          <w:color w:val="000000"/>
        </w:rPr>
        <w:t>, as Senator Gorton summarized:</w:t>
      </w:r>
    </w:p>
    <w:p w14:paraId="2625A942"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The rules that a city or a county imposes on how its street rights of way are going to be utilized, whether there are aboveground wires or underground wires, what kind of equipment ought to be used in excavations, what hours the excavations should take place, are a matter of primarily local concern and, of course, they are exempted by subsection (c) of this section. [141 Cong. Rec. S8306, 8308 (daily ed. June 14, 1995).]</w:t>
      </w:r>
    </w:p>
    <w:p w14:paraId="0DDB0C31" w14:textId="73399CD8" w:rsidR="00752154" w:rsidRPr="00752154" w:rsidRDefault="00752154" w:rsidP="00752154">
      <w:pPr>
        <w:pStyle w:val="NormalWeb"/>
        <w:rPr>
          <w:rFonts w:ascii="Arial" w:hAnsi="Arial" w:cs="Arial"/>
          <w:color w:val="000000"/>
        </w:rPr>
      </w:pPr>
      <w:r w:rsidRPr="00752154">
        <w:rPr>
          <w:rFonts w:ascii="Arial" w:hAnsi="Arial" w:cs="Arial"/>
          <w:color w:val="000000"/>
        </w:rPr>
        <w:t>. . . H.R. Rep. No. 104458, at 207-08 (1996) (Conf. Rep.) (explaining that Section 332(c)(7) “preserves the authority of State and local governments over zoning and land use matters except in the limited circumstances” set forth in Section 332(c)(7)(B)).</w:t>
      </w:r>
      <w:r w:rsidRPr="00752154">
        <w:rPr>
          <w:rStyle w:val="apple-converted-space"/>
          <w:rFonts w:ascii="Arial" w:hAnsi="Arial" w:cs="Arial"/>
          <w:color w:val="000000"/>
        </w:rPr>
        <w:t> </w:t>
      </w:r>
      <w:r w:rsidRPr="00C40F08">
        <w:rPr>
          <w:rStyle w:val="Strong"/>
          <w:rFonts w:ascii="Arial" w:hAnsi="Arial" w:cs="Arial"/>
          <w:b w:val="0"/>
          <w:bCs w:val="0"/>
          <w:color w:val="000000"/>
        </w:rPr>
        <w:t>This language could not be clearer in precluding the FCC from relying on Section 253(a) as a source of authority to displace local governments’</w:t>
      </w:r>
      <w:r w:rsidRPr="00752154">
        <w:rPr>
          <w:rStyle w:val="Strong"/>
          <w:rFonts w:ascii="Arial" w:hAnsi="Arial" w:cs="Arial"/>
          <w:color w:val="000000"/>
        </w:rPr>
        <w:t xml:space="preserve"> </w:t>
      </w:r>
      <w:r>
        <w:rPr>
          <w:rStyle w:val="Strong"/>
          <w:rFonts w:ascii="Arial" w:hAnsi="Arial" w:cs="Arial"/>
          <w:b w:val="0"/>
          <w:bCs w:val="0"/>
          <w:color w:val="000000"/>
        </w:rPr>
        <w:t xml:space="preserve">“decisions </w:t>
      </w:r>
      <w:r w:rsidRPr="00752154">
        <w:rPr>
          <w:rFonts w:ascii="Arial" w:hAnsi="Arial" w:cs="Arial"/>
          <w:color w:val="000000"/>
        </w:rPr>
        <w:t>regarding the placement, construction, and modification of personal wireless service facilities” as any preemption of these decisions is permitted only in the narrow context of the specific circumstances enumerated in Section 332(c)(7)(B).</w:t>
      </w:r>
      <w:r w:rsidRPr="00752154">
        <w:rPr>
          <w:rStyle w:val="apple-converted-space"/>
          <w:rFonts w:ascii="Arial" w:hAnsi="Arial" w:cs="Arial"/>
          <w:color w:val="000000"/>
        </w:rPr>
        <w:t> </w:t>
      </w:r>
    </w:p>
    <w:p w14:paraId="276F64A8" w14:textId="77777777" w:rsidR="00752154" w:rsidRPr="00752154" w:rsidRDefault="00752154" w:rsidP="00752154">
      <w:pPr>
        <w:pStyle w:val="NormalWeb"/>
        <w:rPr>
          <w:rFonts w:ascii="Arial" w:hAnsi="Arial" w:cs="Arial"/>
          <w:color w:val="000000"/>
        </w:rPr>
      </w:pPr>
      <w:r w:rsidRPr="00752154">
        <w:rPr>
          <w:rFonts w:ascii="Arial" w:hAnsi="Arial" w:cs="Arial"/>
          <w:color w:val="000000"/>
        </w:rPr>
        <w:t>The FCC attempts to expand its preemptive authority under the Act by lowering the threshold for what acts of a state or local government constitute an effective prohibition.</w:t>
      </w:r>
      <w:r w:rsidRPr="00752154">
        <w:rPr>
          <w:rStyle w:val="apple-converted-space"/>
          <w:rFonts w:ascii="Arial" w:hAnsi="Arial" w:cs="Arial"/>
          <w:color w:val="000000"/>
        </w:rPr>
        <w:t> </w:t>
      </w:r>
      <w:r w:rsidRPr="00C40F08">
        <w:rPr>
          <w:rStyle w:val="Strong"/>
          <w:rFonts w:ascii="Arial" w:hAnsi="Arial" w:cs="Arial"/>
          <w:b w:val="0"/>
          <w:bCs w:val="0"/>
          <w:color w:val="000000"/>
        </w:rPr>
        <w:t>Intervenors agree with local-government petitioners that the FCC’s new reading of the Act is irrational</w:t>
      </w:r>
      <w:r w:rsidRPr="00752154">
        <w:rPr>
          <w:rFonts w:ascii="Arial" w:hAnsi="Arial" w:cs="Arial"/>
          <w:color w:val="000000"/>
        </w:rPr>
        <w:t>. What’s more, the mere fact that the FCC must strain so hard to find a hook on which to hang its authority to issue the Orders is itself powerful evidence that the Act contains no clear congressional authorization for them."</w:t>
      </w:r>
    </w:p>
    <w:p w14:paraId="777544FD" w14:textId="77777777" w:rsidR="00752154" w:rsidRPr="00752154" w:rsidRDefault="00752154" w:rsidP="00752154">
      <w:pPr>
        <w:pStyle w:val="NormalWeb"/>
        <w:rPr>
          <w:rFonts w:ascii="Arial" w:hAnsi="Arial" w:cs="Arial"/>
          <w:color w:val="000000"/>
        </w:rPr>
      </w:pPr>
      <w:r w:rsidRPr="00C40F08">
        <w:rPr>
          <w:rStyle w:val="Strong"/>
          <w:rFonts w:ascii="Arial" w:hAnsi="Arial" w:cs="Arial"/>
          <w:b w:val="0"/>
          <w:bCs w:val="0"/>
          <w:color w:val="000000"/>
        </w:rPr>
        <w:lastRenderedPageBreak/>
        <w:t>Sections 253(c) and 332(c)(7)(A) in the Act were included by Congress for the specific purpose of preserving state and local rights</w:t>
      </w:r>
      <w:r w:rsidRPr="00752154">
        <w:rPr>
          <w:rFonts w:ascii="Arial" w:hAnsi="Arial" w:cs="Arial"/>
          <w:color w:val="000000"/>
        </w:rPr>
        <w:t>. They are precisely the kind of statutory limitations that an unaccountable federal agency ought not to be able to displace without a clear statement from Congress.</w:t>
      </w:r>
    </w:p>
    <w:p w14:paraId="3D28F0E1" w14:textId="4D904576" w:rsidR="00A46DE9" w:rsidRPr="00A46DE9" w:rsidRDefault="00C40F08" w:rsidP="00A46DE9">
      <w:pPr>
        <w:pStyle w:val="NormalWeb"/>
        <w:rPr>
          <w:rFonts w:ascii="Arial" w:hAnsi="Arial" w:cs="Arial"/>
          <w:color w:val="FF0000"/>
        </w:rPr>
      </w:pPr>
      <w:r w:rsidRPr="00C40F08">
        <w:rPr>
          <w:rStyle w:val="Strong"/>
          <w:rFonts w:ascii="Arial" w:hAnsi="Arial" w:cs="Arial"/>
          <w:b w:val="0"/>
          <w:bCs w:val="0"/>
          <w:color w:val="FF0000"/>
        </w:rPr>
        <w:t xml:space="preserve">The orders should be </w:t>
      </w:r>
      <w:proofErr w:type="gramStart"/>
      <w:r w:rsidRPr="00C40F08">
        <w:rPr>
          <w:rStyle w:val="Strong"/>
          <w:rFonts w:ascii="Arial" w:hAnsi="Arial" w:cs="Arial"/>
          <w:b w:val="0"/>
          <w:bCs w:val="0"/>
          <w:color w:val="FF0000"/>
        </w:rPr>
        <w:t>va</w:t>
      </w:r>
      <w:r w:rsidR="00A46DE9">
        <w:rPr>
          <w:rStyle w:val="Strong"/>
          <w:rFonts w:ascii="Arial" w:hAnsi="Arial" w:cs="Arial"/>
          <w:b w:val="0"/>
          <w:bCs w:val="0"/>
          <w:color w:val="FF0000"/>
        </w:rPr>
        <w:t>c</w:t>
      </w:r>
      <w:r w:rsidRPr="00C40F08">
        <w:rPr>
          <w:rStyle w:val="Strong"/>
          <w:rFonts w:ascii="Arial" w:hAnsi="Arial" w:cs="Arial"/>
          <w:b w:val="0"/>
          <w:bCs w:val="0"/>
          <w:color w:val="FF0000"/>
        </w:rPr>
        <w:t>ated</w:t>
      </w:r>
      <w:proofErr w:type="gramEnd"/>
      <w:r w:rsidR="00A46DE9">
        <w:rPr>
          <w:rStyle w:val="Strong"/>
          <w:rFonts w:ascii="Arial" w:hAnsi="Arial" w:cs="Arial"/>
          <w:b w:val="0"/>
          <w:bCs w:val="0"/>
          <w:color w:val="FF0000"/>
        </w:rPr>
        <w:t xml:space="preserve"> and a Toll Agreement submitted to </w:t>
      </w:r>
      <w:r w:rsidR="00A46DE9" w:rsidRPr="00752154">
        <w:rPr>
          <w:rFonts w:ascii="Arial" w:hAnsi="Arial" w:cs="Arial"/>
          <w:color w:val="FF0000"/>
        </w:rPr>
        <w:t xml:space="preserve">halt the Shot Clocks over all current and future </w:t>
      </w:r>
      <w:r w:rsidR="00A46DE9">
        <w:rPr>
          <w:rFonts w:ascii="Arial" w:hAnsi="Arial" w:cs="Arial"/>
          <w:color w:val="FF0000"/>
        </w:rPr>
        <w:t xml:space="preserve">City of </w:t>
      </w:r>
      <w:proofErr w:type="spellStart"/>
      <w:r w:rsidR="002D3A87">
        <w:rPr>
          <w:rFonts w:ascii="Arial" w:hAnsi="Arial" w:cs="Arial"/>
          <w:color w:val="FF0000"/>
        </w:rPr>
        <w:t>xxxxx</w:t>
      </w:r>
      <w:proofErr w:type="spellEnd"/>
      <w:r w:rsidR="00A46DE9">
        <w:rPr>
          <w:rFonts w:ascii="Arial" w:hAnsi="Arial" w:cs="Arial"/>
          <w:color w:val="FF0000"/>
        </w:rPr>
        <w:t xml:space="preserve"> </w:t>
      </w:r>
      <w:r w:rsidR="00A46DE9" w:rsidRPr="00752154">
        <w:rPr>
          <w:rFonts w:ascii="Arial" w:hAnsi="Arial" w:cs="Arial"/>
          <w:color w:val="FF0000"/>
        </w:rPr>
        <w:t>5G/4G WTF and 5G/4G “Small” WTF applications</w:t>
      </w:r>
      <w:r w:rsidR="00A46DE9">
        <w:rPr>
          <w:rFonts w:ascii="Arial" w:hAnsi="Arial" w:cs="Arial"/>
          <w:color w:val="FF0000"/>
        </w:rPr>
        <w:t>.</w:t>
      </w:r>
      <w:r w:rsidR="00A46DE9" w:rsidRPr="00752154">
        <w:rPr>
          <w:rFonts w:ascii="Arial" w:hAnsi="Arial" w:cs="Arial"/>
          <w:color w:val="FF0000"/>
        </w:rPr>
        <w:t xml:space="preserve"> </w:t>
      </w:r>
      <w:r w:rsidR="00A46DE9">
        <w:rPr>
          <w:rFonts w:ascii="Arial" w:hAnsi="Arial" w:cs="Arial"/>
          <w:color w:val="FF0000"/>
        </w:rPr>
        <w:t xml:space="preserve"> This </w:t>
      </w:r>
      <w:r w:rsidR="00A46DE9" w:rsidRPr="00752154">
        <w:rPr>
          <w:rFonts w:ascii="Arial" w:hAnsi="Arial" w:cs="Arial"/>
          <w:color w:val="FF0000"/>
        </w:rPr>
        <w:t xml:space="preserve">is urgent and primary </w:t>
      </w:r>
      <w:r w:rsidR="00A46DE9">
        <w:rPr>
          <w:rFonts w:ascii="Arial" w:hAnsi="Arial" w:cs="Arial"/>
          <w:color w:val="FF0000"/>
        </w:rPr>
        <w:t>and</w:t>
      </w:r>
      <w:r w:rsidR="00A46DE9" w:rsidRPr="00752154">
        <w:rPr>
          <w:rFonts w:ascii="Arial" w:hAnsi="Arial" w:cs="Arial"/>
          <w:color w:val="FF0000"/>
        </w:rPr>
        <w:t xml:space="preserve"> takes precedence over all other </w:t>
      </w:r>
      <w:r w:rsidR="00A46DE9">
        <w:rPr>
          <w:rFonts w:ascii="Arial" w:hAnsi="Arial" w:cs="Arial"/>
          <w:color w:val="FF0000"/>
        </w:rPr>
        <w:t xml:space="preserve">WTF related </w:t>
      </w:r>
      <w:r w:rsidR="00A46DE9" w:rsidRPr="00752154">
        <w:rPr>
          <w:rFonts w:ascii="Arial" w:hAnsi="Arial" w:cs="Arial"/>
          <w:color w:val="FF0000"/>
        </w:rPr>
        <w:t>actions at this time.</w:t>
      </w:r>
    </w:p>
    <w:p w14:paraId="28E09C87" w14:textId="548D48E0" w:rsidR="00C40F08" w:rsidRDefault="00C40F08" w:rsidP="002D5843">
      <w:pPr>
        <w:rPr>
          <w:rFonts w:ascii="Arial" w:eastAsia="Times New Roman" w:hAnsi="Arial" w:cs="Arial"/>
          <w:color w:val="000000"/>
        </w:rPr>
      </w:pPr>
    </w:p>
    <w:p w14:paraId="4B31AA4B" w14:textId="77777777" w:rsidR="00A46DE9" w:rsidRDefault="00A46DE9" w:rsidP="002D5843">
      <w:pPr>
        <w:rPr>
          <w:rFonts w:ascii="Arial" w:eastAsia="Times New Roman" w:hAnsi="Arial" w:cs="Arial"/>
          <w:color w:val="000000"/>
        </w:rPr>
      </w:pPr>
    </w:p>
    <w:p w14:paraId="50D43577" w14:textId="603C56B8" w:rsidR="002D5843" w:rsidRPr="00061608" w:rsidRDefault="002D5843" w:rsidP="002D5843">
      <w:pPr>
        <w:rPr>
          <w:rFonts w:ascii="Arial" w:eastAsia="Times New Roman" w:hAnsi="Arial" w:cs="Arial"/>
          <w:color w:val="000000"/>
        </w:rPr>
      </w:pPr>
      <w:r w:rsidRPr="00061608">
        <w:rPr>
          <w:rFonts w:ascii="Arial" w:eastAsia="Times New Roman" w:hAnsi="Arial" w:cs="Arial"/>
          <w:color w:val="000000"/>
        </w:rPr>
        <w:t>Respectfully</w:t>
      </w:r>
      <w:bookmarkStart w:id="0" w:name="_GoBack"/>
      <w:bookmarkEnd w:id="0"/>
      <w:r w:rsidRPr="00061608">
        <w:rPr>
          <w:rFonts w:ascii="Arial" w:eastAsia="Times New Roman" w:hAnsi="Arial" w:cs="Arial"/>
          <w:color w:val="000000"/>
        </w:rPr>
        <w:t xml:space="preserve"> and In Truth,</w:t>
      </w:r>
    </w:p>
    <w:p w14:paraId="6DC3BC7F" w14:textId="77777777" w:rsidR="00C40F08" w:rsidRDefault="00C40F08" w:rsidP="002D5843">
      <w:pPr>
        <w:rPr>
          <w:rFonts w:ascii="Arial" w:eastAsia="Times New Roman" w:hAnsi="Arial" w:cs="Arial"/>
          <w:color w:val="000000"/>
        </w:rPr>
      </w:pPr>
    </w:p>
    <w:p w14:paraId="47B7FB5C" w14:textId="1D3AA474" w:rsidR="0095453F" w:rsidRPr="00061608" w:rsidRDefault="002D5843" w:rsidP="002D5843">
      <w:pPr>
        <w:rPr>
          <w:rFonts w:ascii="Arial" w:eastAsia="Times New Roman" w:hAnsi="Arial" w:cs="Arial"/>
          <w:color w:val="000000"/>
        </w:rPr>
      </w:pPr>
      <w:r w:rsidRPr="00061608">
        <w:rPr>
          <w:rFonts w:ascii="Arial" w:eastAsia="Times New Roman" w:hAnsi="Arial" w:cs="Arial"/>
          <w:color w:val="000000"/>
        </w:rPr>
        <w:t>Lena Pu</w:t>
      </w:r>
    </w:p>
    <w:p w14:paraId="4FBF1143" w14:textId="3EC15794" w:rsidR="0095453F" w:rsidRPr="00061608" w:rsidRDefault="0095453F" w:rsidP="002D5843">
      <w:pPr>
        <w:rPr>
          <w:rFonts w:ascii="Arial" w:eastAsia="Times New Roman" w:hAnsi="Arial" w:cs="Arial"/>
          <w:color w:val="000000"/>
        </w:rPr>
      </w:pPr>
      <w:r w:rsidRPr="00061608">
        <w:rPr>
          <w:rFonts w:ascii="Arial" w:eastAsia="Times New Roman" w:hAnsi="Arial" w:cs="Arial"/>
          <w:color w:val="000000"/>
        </w:rPr>
        <w:t>Environmental Research &amp; Design</w:t>
      </w:r>
    </w:p>
    <w:p w14:paraId="22798E76" w14:textId="4EA35171" w:rsidR="00A46DE9" w:rsidRDefault="0095453F" w:rsidP="002D5843">
      <w:pPr>
        <w:rPr>
          <w:rFonts w:ascii="Arial" w:eastAsia="Times New Roman" w:hAnsi="Arial" w:cs="Arial"/>
          <w:color w:val="000000"/>
        </w:rPr>
      </w:pPr>
      <w:r w:rsidRPr="00061608">
        <w:rPr>
          <w:rFonts w:ascii="Arial" w:eastAsia="Times New Roman" w:hAnsi="Arial" w:cs="Arial"/>
          <w:color w:val="000000"/>
        </w:rPr>
        <w:t>NACST.org</w:t>
      </w:r>
    </w:p>
    <w:p w14:paraId="18BF7628" w14:textId="0424987A" w:rsidR="00C40F08" w:rsidRDefault="00C40F08" w:rsidP="002D5843">
      <w:pPr>
        <w:rPr>
          <w:rFonts w:ascii="Arial" w:eastAsia="Times New Roman" w:hAnsi="Arial" w:cs="Arial"/>
          <w:color w:val="000000"/>
        </w:rPr>
      </w:pPr>
    </w:p>
    <w:p w14:paraId="0AFA3FCA" w14:textId="3D6DD617" w:rsidR="00C40F08" w:rsidRDefault="00C40F08" w:rsidP="002D5843">
      <w:pPr>
        <w:rPr>
          <w:rFonts w:ascii="Arial" w:eastAsia="Times New Roman" w:hAnsi="Arial" w:cs="Arial"/>
          <w:color w:val="000000"/>
        </w:rPr>
      </w:pPr>
    </w:p>
    <w:p w14:paraId="39BB028D" w14:textId="565DBF07" w:rsidR="00C40F08" w:rsidRDefault="00C40F08" w:rsidP="002D5843">
      <w:pPr>
        <w:rPr>
          <w:rFonts w:ascii="Arial" w:eastAsia="Times New Roman" w:hAnsi="Arial" w:cs="Arial"/>
          <w:color w:val="000000"/>
        </w:rPr>
      </w:pPr>
    </w:p>
    <w:p w14:paraId="65764748" w14:textId="059989E6" w:rsidR="00C40F08" w:rsidRDefault="00C40F08" w:rsidP="002D5843">
      <w:pPr>
        <w:rPr>
          <w:rFonts w:ascii="Arial" w:eastAsia="Times New Roman" w:hAnsi="Arial" w:cs="Arial"/>
          <w:color w:val="000000"/>
        </w:rPr>
      </w:pPr>
    </w:p>
    <w:p w14:paraId="256A0DD2" w14:textId="70A0FF36" w:rsidR="00C40F08" w:rsidRDefault="00C40F08" w:rsidP="002D5843">
      <w:pPr>
        <w:rPr>
          <w:rFonts w:ascii="Arial" w:eastAsia="Times New Roman" w:hAnsi="Arial" w:cs="Arial"/>
          <w:color w:val="000000"/>
        </w:rPr>
      </w:pPr>
    </w:p>
    <w:p w14:paraId="6B6BB738" w14:textId="1E60E23F" w:rsidR="00C40F08" w:rsidRDefault="00C40F08" w:rsidP="002D5843">
      <w:pPr>
        <w:rPr>
          <w:rFonts w:ascii="Arial" w:eastAsia="Times New Roman" w:hAnsi="Arial" w:cs="Arial"/>
          <w:color w:val="000000"/>
        </w:rPr>
      </w:pPr>
    </w:p>
    <w:p w14:paraId="05D44AF4" w14:textId="6DD38378" w:rsidR="00C40F08" w:rsidRDefault="00C40F08" w:rsidP="002D5843">
      <w:pPr>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666788FA" wp14:editId="1EF96F06">
            <wp:extent cx="6126480" cy="792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C NATOA Intervenor Brief.pdf"/>
                    <pic:cNvPicPr/>
                  </pic:nvPicPr>
                  <pic:blipFill>
                    <a:blip r:embed="rId8">
                      <a:extLst>
                        <a:ext uri="{28A0092B-C50C-407E-A947-70E740481C1C}">
                          <a14:useLocalDpi xmlns:a14="http://schemas.microsoft.com/office/drawing/2010/main" val="0"/>
                        </a:ext>
                      </a:extLst>
                    </a:blip>
                    <a:stretch>
                      <a:fillRect/>
                    </a:stretch>
                  </pic:blipFill>
                  <pic:spPr>
                    <a:xfrm>
                      <a:off x="0" y="0"/>
                      <a:ext cx="6126480" cy="7928610"/>
                    </a:xfrm>
                    <a:prstGeom prst="rect">
                      <a:avLst/>
                    </a:prstGeom>
                  </pic:spPr>
                </pic:pic>
              </a:graphicData>
            </a:graphic>
          </wp:inline>
        </w:drawing>
      </w:r>
    </w:p>
    <w:p w14:paraId="74834815" w14:textId="77777777" w:rsidR="003979D8" w:rsidRPr="00061608" w:rsidRDefault="003979D8" w:rsidP="002D5843">
      <w:pPr>
        <w:rPr>
          <w:rFonts w:ascii="Arial" w:eastAsia="Times New Roman" w:hAnsi="Arial" w:cs="Arial"/>
          <w:color w:val="000000"/>
        </w:rPr>
      </w:pPr>
    </w:p>
    <w:p w14:paraId="5516FED4" w14:textId="77777777" w:rsidR="00BA7B03" w:rsidRPr="00061608" w:rsidRDefault="002D3A87">
      <w:pPr>
        <w:rPr>
          <w:rFonts w:ascii="Arial" w:hAnsi="Arial" w:cs="Arial"/>
        </w:rPr>
      </w:pPr>
    </w:p>
    <w:sectPr w:rsidR="00BA7B03" w:rsidRPr="00061608" w:rsidSect="00C40F0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1D96"/>
    <w:multiLevelType w:val="multilevel"/>
    <w:tmpl w:val="8F5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E42DD"/>
    <w:multiLevelType w:val="multilevel"/>
    <w:tmpl w:val="D78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43"/>
    <w:rsid w:val="00061608"/>
    <w:rsid w:val="000966AF"/>
    <w:rsid w:val="001C2FA4"/>
    <w:rsid w:val="00200715"/>
    <w:rsid w:val="002C29A8"/>
    <w:rsid w:val="002D3A87"/>
    <w:rsid w:val="002D5843"/>
    <w:rsid w:val="003979D8"/>
    <w:rsid w:val="0043220D"/>
    <w:rsid w:val="005D06FB"/>
    <w:rsid w:val="0064507F"/>
    <w:rsid w:val="006D7F4A"/>
    <w:rsid w:val="00735808"/>
    <w:rsid w:val="00752154"/>
    <w:rsid w:val="0095453F"/>
    <w:rsid w:val="00963BE1"/>
    <w:rsid w:val="00A02C98"/>
    <w:rsid w:val="00A46DE9"/>
    <w:rsid w:val="00AD0399"/>
    <w:rsid w:val="00B17F51"/>
    <w:rsid w:val="00C40F08"/>
    <w:rsid w:val="00DC1E54"/>
    <w:rsid w:val="00DC37C9"/>
    <w:rsid w:val="00E253BF"/>
    <w:rsid w:val="00E9474A"/>
    <w:rsid w:val="00EC0B46"/>
    <w:rsid w:val="00EF51A6"/>
    <w:rsid w:val="00F62CF5"/>
    <w:rsid w:val="00F6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952F6"/>
  <w15:chartTrackingRefBased/>
  <w15:docId w15:val="{FB4DA3A4-97D0-7442-A6F2-228198D3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0B4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79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843"/>
  </w:style>
  <w:style w:type="character" w:styleId="Hyperlink">
    <w:name w:val="Hyperlink"/>
    <w:basedOn w:val="DefaultParagraphFont"/>
    <w:uiPriority w:val="99"/>
    <w:unhideWhenUsed/>
    <w:rsid w:val="002D5843"/>
    <w:rPr>
      <w:color w:val="0000FF"/>
      <w:u w:val="single"/>
    </w:rPr>
  </w:style>
  <w:style w:type="character" w:styleId="UnresolvedMention">
    <w:name w:val="Unresolved Mention"/>
    <w:basedOn w:val="DefaultParagraphFont"/>
    <w:uiPriority w:val="99"/>
    <w:semiHidden/>
    <w:unhideWhenUsed/>
    <w:rsid w:val="002D5843"/>
    <w:rPr>
      <w:color w:val="605E5C"/>
      <w:shd w:val="clear" w:color="auto" w:fill="E1DFDD"/>
    </w:rPr>
  </w:style>
  <w:style w:type="character" w:customStyle="1" w:styleId="Heading3Char">
    <w:name w:val="Heading 3 Char"/>
    <w:basedOn w:val="DefaultParagraphFont"/>
    <w:link w:val="Heading3"/>
    <w:uiPriority w:val="9"/>
    <w:rsid w:val="00EC0B46"/>
    <w:rPr>
      <w:rFonts w:ascii="Times New Roman" w:eastAsia="Times New Roman" w:hAnsi="Times New Roman" w:cs="Times New Roman"/>
      <w:b/>
      <w:bCs/>
      <w:sz w:val="27"/>
      <w:szCs w:val="27"/>
    </w:rPr>
  </w:style>
  <w:style w:type="character" w:styleId="Strong">
    <w:name w:val="Strong"/>
    <w:basedOn w:val="DefaultParagraphFont"/>
    <w:uiPriority w:val="22"/>
    <w:qFormat/>
    <w:rsid w:val="00EC0B46"/>
    <w:rPr>
      <w:b/>
      <w:bCs/>
    </w:rPr>
  </w:style>
  <w:style w:type="character" w:styleId="FollowedHyperlink">
    <w:name w:val="FollowedHyperlink"/>
    <w:basedOn w:val="DefaultParagraphFont"/>
    <w:uiPriority w:val="99"/>
    <w:semiHidden/>
    <w:unhideWhenUsed/>
    <w:rsid w:val="0043220D"/>
    <w:rPr>
      <w:color w:val="954F72" w:themeColor="followedHyperlink"/>
      <w:u w:val="single"/>
    </w:rPr>
  </w:style>
  <w:style w:type="character" w:customStyle="1" w:styleId="Heading4Char">
    <w:name w:val="Heading 4 Char"/>
    <w:basedOn w:val="DefaultParagraphFont"/>
    <w:link w:val="Heading4"/>
    <w:uiPriority w:val="9"/>
    <w:semiHidden/>
    <w:rsid w:val="003979D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521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2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458842">
      <w:bodyDiv w:val="1"/>
      <w:marLeft w:val="0"/>
      <w:marRight w:val="0"/>
      <w:marTop w:val="0"/>
      <w:marBottom w:val="0"/>
      <w:divBdr>
        <w:top w:val="none" w:sz="0" w:space="0" w:color="auto"/>
        <w:left w:val="none" w:sz="0" w:space="0" w:color="auto"/>
        <w:bottom w:val="none" w:sz="0" w:space="0" w:color="auto"/>
        <w:right w:val="none" w:sz="0" w:space="0" w:color="auto"/>
      </w:divBdr>
      <w:divsChild>
        <w:div w:id="488406938">
          <w:marLeft w:val="0"/>
          <w:marRight w:val="0"/>
          <w:marTop w:val="0"/>
          <w:marBottom w:val="0"/>
          <w:divBdr>
            <w:top w:val="none" w:sz="0" w:space="0" w:color="auto"/>
            <w:left w:val="none" w:sz="0" w:space="0" w:color="auto"/>
            <w:bottom w:val="none" w:sz="0" w:space="0" w:color="auto"/>
            <w:right w:val="none" w:sz="0" w:space="0" w:color="auto"/>
          </w:divBdr>
          <w:divsChild>
            <w:div w:id="1035277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58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1503796">
      <w:bodyDiv w:val="1"/>
      <w:marLeft w:val="0"/>
      <w:marRight w:val="0"/>
      <w:marTop w:val="0"/>
      <w:marBottom w:val="0"/>
      <w:divBdr>
        <w:top w:val="none" w:sz="0" w:space="0" w:color="auto"/>
        <w:left w:val="none" w:sz="0" w:space="0" w:color="auto"/>
        <w:bottom w:val="none" w:sz="0" w:space="0" w:color="auto"/>
        <w:right w:val="none" w:sz="0" w:space="0" w:color="auto"/>
      </w:divBdr>
    </w:div>
    <w:div w:id="1871991803">
      <w:bodyDiv w:val="1"/>
      <w:marLeft w:val="0"/>
      <w:marRight w:val="0"/>
      <w:marTop w:val="0"/>
      <w:marBottom w:val="0"/>
      <w:divBdr>
        <w:top w:val="none" w:sz="0" w:space="0" w:color="auto"/>
        <w:left w:val="none" w:sz="0" w:space="0" w:color="auto"/>
        <w:bottom w:val="none" w:sz="0" w:space="0" w:color="auto"/>
        <w:right w:val="none" w:sz="0" w:space="0" w:color="auto"/>
      </w:divBdr>
      <w:divsChild>
        <w:div w:id="1918586438">
          <w:marLeft w:val="0"/>
          <w:marRight w:val="0"/>
          <w:marTop w:val="0"/>
          <w:marBottom w:val="0"/>
          <w:divBdr>
            <w:top w:val="none" w:sz="0" w:space="0" w:color="auto"/>
            <w:left w:val="none" w:sz="0" w:space="0" w:color="auto"/>
            <w:bottom w:val="none" w:sz="0" w:space="0" w:color="auto"/>
            <w:right w:val="none" w:sz="0" w:space="0" w:color="auto"/>
          </w:divBdr>
          <w:divsChild>
            <w:div w:id="113097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04375">
      <w:bodyDiv w:val="1"/>
      <w:marLeft w:val="0"/>
      <w:marRight w:val="0"/>
      <w:marTop w:val="0"/>
      <w:marBottom w:val="0"/>
      <w:divBdr>
        <w:top w:val="none" w:sz="0" w:space="0" w:color="auto"/>
        <w:left w:val="none" w:sz="0" w:space="0" w:color="auto"/>
        <w:bottom w:val="none" w:sz="0" w:space="0" w:color="auto"/>
        <w:right w:val="none" w:sz="0" w:space="0" w:color="auto"/>
      </w:divBdr>
      <w:divsChild>
        <w:div w:id="710879816">
          <w:marLeft w:val="0"/>
          <w:marRight w:val="0"/>
          <w:marTop w:val="0"/>
          <w:marBottom w:val="0"/>
          <w:divBdr>
            <w:top w:val="none" w:sz="0" w:space="0" w:color="auto"/>
            <w:left w:val="none" w:sz="0" w:space="0" w:color="auto"/>
            <w:bottom w:val="none" w:sz="0" w:space="0" w:color="auto"/>
            <w:right w:val="none" w:sz="0" w:space="0" w:color="auto"/>
          </w:divBdr>
        </w:div>
        <w:div w:id="1282031565">
          <w:marLeft w:val="0"/>
          <w:marRight w:val="0"/>
          <w:marTop w:val="0"/>
          <w:marBottom w:val="0"/>
          <w:divBdr>
            <w:top w:val="none" w:sz="0" w:space="0" w:color="auto"/>
            <w:left w:val="none" w:sz="0" w:space="0" w:color="auto"/>
            <w:bottom w:val="none" w:sz="0" w:space="0" w:color="auto"/>
            <w:right w:val="none" w:sz="0" w:space="0" w:color="auto"/>
          </w:divBdr>
          <w:divsChild>
            <w:div w:id="395904849">
              <w:marLeft w:val="0"/>
              <w:marRight w:val="0"/>
              <w:marTop w:val="0"/>
              <w:marBottom w:val="0"/>
              <w:divBdr>
                <w:top w:val="none" w:sz="0" w:space="0" w:color="auto"/>
                <w:left w:val="none" w:sz="0" w:space="0" w:color="auto"/>
                <w:bottom w:val="none" w:sz="0" w:space="0" w:color="auto"/>
                <w:right w:val="none" w:sz="0" w:space="0" w:color="auto"/>
              </w:divBdr>
            </w:div>
            <w:div w:id="643702736">
              <w:marLeft w:val="0"/>
              <w:marRight w:val="0"/>
              <w:marTop w:val="0"/>
              <w:marBottom w:val="0"/>
              <w:divBdr>
                <w:top w:val="none" w:sz="0" w:space="0" w:color="auto"/>
                <w:left w:val="none" w:sz="0" w:space="0" w:color="auto"/>
                <w:bottom w:val="none" w:sz="0" w:space="0" w:color="auto"/>
                <w:right w:val="none" w:sz="0" w:space="0" w:color="auto"/>
              </w:divBdr>
            </w:div>
            <w:div w:id="252321118">
              <w:marLeft w:val="0"/>
              <w:marRight w:val="0"/>
              <w:marTop w:val="0"/>
              <w:marBottom w:val="0"/>
              <w:divBdr>
                <w:top w:val="none" w:sz="0" w:space="0" w:color="auto"/>
                <w:left w:val="none" w:sz="0" w:space="0" w:color="auto"/>
                <w:bottom w:val="none" w:sz="0" w:space="0" w:color="auto"/>
                <w:right w:val="none" w:sz="0" w:space="0" w:color="auto"/>
              </w:divBdr>
            </w:div>
            <w:div w:id="976256960">
              <w:marLeft w:val="0"/>
              <w:marRight w:val="0"/>
              <w:marTop w:val="0"/>
              <w:marBottom w:val="0"/>
              <w:divBdr>
                <w:top w:val="none" w:sz="0" w:space="0" w:color="auto"/>
                <w:left w:val="none" w:sz="0" w:space="0" w:color="auto"/>
                <w:bottom w:val="none" w:sz="0" w:space="0" w:color="auto"/>
                <w:right w:val="none" w:sz="0" w:space="0" w:color="auto"/>
              </w:divBdr>
            </w:div>
            <w:div w:id="414056717">
              <w:marLeft w:val="0"/>
              <w:marRight w:val="0"/>
              <w:marTop w:val="0"/>
              <w:marBottom w:val="0"/>
              <w:divBdr>
                <w:top w:val="none" w:sz="0" w:space="0" w:color="auto"/>
                <w:left w:val="none" w:sz="0" w:space="0" w:color="auto"/>
                <w:bottom w:val="none" w:sz="0" w:space="0" w:color="auto"/>
                <w:right w:val="none" w:sz="0" w:space="0" w:color="auto"/>
              </w:divBdr>
            </w:div>
            <w:div w:id="1767458890">
              <w:marLeft w:val="0"/>
              <w:marRight w:val="0"/>
              <w:marTop w:val="0"/>
              <w:marBottom w:val="0"/>
              <w:divBdr>
                <w:top w:val="none" w:sz="0" w:space="0" w:color="auto"/>
                <w:left w:val="none" w:sz="0" w:space="0" w:color="auto"/>
                <w:bottom w:val="none" w:sz="0" w:space="0" w:color="auto"/>
                <w:right w:val="none" w:sz="0" w:space="0" w:color="auto"/>
              </w:divBdr>
            </w:div>
            <w:div w:id="1818187557">
              <w:marLeft w:val="0"/>
              <w:marRight w:val="0"/>
              <w:marTop w:val="0"/>
              <w:marBottom w:val="0"/>
              <w:divBdr>
                <w:top w:val="none" w:sz="0" w:space="0" w:color="auto"/>
                <w:left w:val="none" w:sz="0" w:space="0" w:color="auto"/>
                <w:bottom w:val="none" w:sz="0" w:space="0" w:color="auto"/>
                <w:right w:val="none" w:sz="0" w:space="0" w:color="auto"/>
              </w:divBdr>
            </w:div>
            <w:div w:id="1500541172">
              <w:marLeft w:val="0"/>
              <w:marRight w:val="0"/>
              <w:marTop w:val="0"/>
              <w:marBottom w:val="0"/>
              <w:divBdr>
                <w:top w:val="none" w:sz="0" w:space="0" w:color="auto"/>
                <w:left w:val="none" w:sz="0" w:space="0" w:color="auto"/>
                <w:bottom w:val="none" w:sz="0" w:space="0" w:color="auto"/>
                <w:right w:val="none" w:sz="0" w:space="0" w:color="auto"/>
              </w:divBdr>
            </w:div>
            <w:div w:id="1687830017">
              <w:marLeft w:val="0"/>
              <w:marRight w:val="0"/>
              <w:marTop w:val="0"/>
              <w:marBottom w:val="0"/>
              <w:divBdr>
                <w:top w:val="none" w:sz="0" w:space="0" w:color="auto"/>
                <w:left w:val="none" w:sz="0" w:space="0" w:color="auto"/>
                <w:bottom w:val="none" w:sz="0" w:space="0" w:color="auto"/>
                <w:right w:val="none" w:sz="0" w:space="0" w:color="auto"/>
              </w:divBdr>
            </w:div>
            <w:div w:id="1335184579">
              <w:marLeft w:val="0"/>
              <w:marRight w:val="0"/>
              <w:marTop w:val="0"/>
              <w:marBottom w:val="0"/>
              <w:divBdr>
                <w:top w:val="none" w:sz="0" w:space="0" w:color="auto"/>
                <w:left w:val="none" w:sz="0" w:space="0" w:color="auto"/>
                <w:bottom w:val="none" w:sz="0" w:space="0" w:color="auto"/>
                <w:right w:val="none" w:sz="0" w:space="0" w:color="auto"/>
              </w:divBdr>
            </w:div>
            <w:div w:id="1887402484">
              <w:marLeft w:val="0"/>
              <w:marRight w:val="0"/>
              <w:marTop w:val="0"/>
              <w:marBottom w:val="0"/>
              <w:divBdr>
                <w:top w:val="none" w:sz="0" w:space="0" w:color="auto"/>
                <w:left w:val="none" w:sz="0" w:space="0" w:color="auto"/>
                <w:bottom w:val="none" w:sz="0" w:space="0" w:color="auto"/>
                <w:right w:val="none" w:sz="0" w:space="0" w:color="auto"/>
              </w:divBdr>
            </w:div>
            <w:div w:id="847334189">
              <w:marLeft w:val="0"/>
              <w:marRight w:val="0"/>
              <w:marTop w:val="0"/>
              <w:marBottom w:val="0"/>
              <w:divBdr>
                <w:top w:val="none" w:sz="0" w:space="0" w:color="auto"/>
                <w:left w:val="none" w:sz="0" w:space="0" w:color="auto"/>
                <w:bottom w:val="none" w:sz="0" w:space="0" w:color="auto"/>
                <w:right w:val="none" w:sz="0" w:space="0" w:color="auto"/>
              </w:divBdr>
            </w:div>
            <w:div w:id="157162759">
              <w:marLeft w:val="0"/>
              <w:marRight w:val="0"/>
              <w:marTop w:val="0"/>
              <w:marBottom w:val="0"/>
              <w:divBdr>
                <w:top w:val="none" w:sz="0" w:space="0" w:color="auto"/>
                <w:left w:val="none" w:sz="0" w:space="0" w:color="auto"/>
                <w:bottom w:val="none" w:sz="0" w:space="0" w:color="auto"/>
                <w:right w:val="none" w:sz="0" w:space="0" w:color="auto"/>
              </w:divBdr>
            </w:div>
            <w:div w:id="410465275">
              <w:marLeft w:val="0"/>
              <w:marRight w:val="0"/>
              <w:marTop w:val="0"/>
              <w:marBottom w:val="0"/>
              <w:divBdr>
                <w:top w:val="none" w:sz="0" w:space="0" w:color="auto"/>
                <w:left w:val="none" w:sz="0" w:space="0" w:color="auto"/>
                <w:bottom w:val="none" w:sz="0" w:space="0" w:color="auto"/>
                <w:right w:val="none" w:sz="0" w:space="0" w:color="auto"/>
              </w:divBdr>
            </w:div>
            <w:div w:id="1179656326">
              <w:marLeft w:val="0"/>
              <w:marRight w:val="0"/>
              <w:marTop w:val="0"/>
              <w:marBottom w:val="0"/>
              <w:divBdr>
                <w:top w:val="none" w:sz="0" w:space="0" w:color="auto"/>
                <w:left w:val="none" w:sz="0" w:space="0" w:color="auto"/>
                <w:bottom w:val="none" w:sz="0" w:space="0" w:color="auto"/>
                <w:right w:val="none" w:sz="0" w:space="0" w:color="auto"/>
              </w:divBdr>
            </w:div>
            <w:div w:id="884680316">
              <w:marLeft w:val="0"/>
              <w:marRight w:val="0"/>
              <w:marTop w:val="0"/>
              <w:marBottom w:val="0"/>
              <w:divBdr>
                <w:top w:val="none" w:sz="0" w:space="0" w:color="auto"/>
                <w:left w:val="none" w:sz="0" w:space="0" w:color="auto"/>
                <w:bottom w:val="none" w:sz="0" w:space="0" w:color="auto"/>
                <w:right w:val="none" w:sz="0" w:space="0" w:color="auto"/>
              </w:divBdr>
            </w:div>
            <w:div w:id="1671710929">
              <w:marLeft w:val="0"/>
              <w:marRight w:val="0"/>
              <w:marTop w:val="0"/>
              <w:marBottom w:val="0"/>
              <w:divBdr>
                <w:top w:val="none" w:sz="0" w:space="0" w:color="auto"/>
                <w:left w:val="none" w:sz="0" w:space="0" w:color="auto"/>
                <w:bottom w:val="none" w:sz="0" w:space="0" w:color="auto"/>
                <w:right w:val="none" w:sz="0" w:space="0" w:color="auto"/>
              </w:divBdr>
            </w:div>
            <w:div w:id="397632735">
              <w:marLeft w:val="0"/>
              <w:marRight w:val="0"/>
              <w:marTop w:val="0"/>
              <w:marBottom w:val="0"/>
              <w:divBdr>
                <w:top w:val="none" w:sz="0" w:space="0" w:color="auto"/>
                <w:left w:val="none" w:sz="0" w:space="0" w:color="auto"/>
                <w:bottom w:val="none" w:sz="0" w:space="0" w:color="auto"/>
                <w:right w:val="none" w:sz="0" w:space="0" w:color="auto"/>
              </w:divBdr>
            </w:div>
            <w:div w:id="1490825167">
              <w:marLeft w:val="0"/>
              <w:marRight w:val="0"/>
              <w:marTop w:val="0"/>
              <w:marBottom w:val="0"/>
              <w:divBdr>
                <w:top w:val="none" w:sz="0" w:space="0" w:color="auto"/>
                <w:left w:val="none" w:sz="0" w:space="0" w:color="auto"/>
                <w:bottom w:val="none" w:sz="0" w:space="0" w:color="auto"/>
                <w:right w:val="none" w:sz="0" w:space="0" w:color="auto"/>
              </w:divBdr>
            </w:div>
            <w:div w:id="819349103">
              <w:marLeft w:val="0"/>
              <w:marRight w:val="0"/>
              <w:marTop w:val="0"/>
              <w:marBottom w:val="0"/>
              <w:divBdr>
                <w:top w:val="none" w:sz="0" w:space="0" w:color="auto"/>
                <w:left w:val="none" w:sz="0" w:space="0" w:color="auto"/>
                <w:bottom w:val="none" w:sz="0" w:space="0" w:color="auto"/>
                <w:right w:val="none" w:sz="0" w:space="0" w:color="auto"/>
              </w:divBdr>
            </w:div>
            <w:div w:id="1068455887">
              <w:marLeft w:val="0"/>
              <w:marRight w:val="0"/>
              <w:marTop w:val="0"/>
              <w:marBottom w:val="0"/>
              <w:divBdr>
                <w:top w:val="none" w:sz="0" w:space="0" w:color="auto"/>
                <w:left w:val="none" w:sz="0" w:space="0" w:color="auto"/>
                <w:bottom w:val="none" w:sz="0" w:space="0" w:color="auto"/>
                <w:right w:val="none" w:sz="0" w:space="0" w:color="auto"/>
              </w:divBdr>
            </w:div>
            <w:div w:id="1373845360">
              <w:marLeft w:val="0"/>
              <w:marRight w:val="0"/>
              <w:marTop w:val="0"/>
              <w:marBottom w:val="0"/>
              <w:divBdr>
                <w:top w:val="none" w:sz="0" w:space="0" w:color="auto"/>
                <w:left w:val="none" w:sz="0" w:space="0" w:color="auto"/>
                <w:bottom w:val="none" w:sz="0" w:space="0" w:color="auto"/>
                <w:right w:val="none" w:sz="0" w:space="0" w:color="auto"/>
              </w:divBdr>
            </w:div>
            <w:div w:id="1694913174">
              <w:marLeft w:val="0"/>
              <w:marRight w:val="0"/>
              <w:marTop w:val="0"/>
              <w:marBottom w:val="0"/>
              <w:divBdr>
                <w:top w:val="none" w:sz="0" w:space="0" w:color="auto"/>
                <w:left w:val="none" w:sz="0" w:space="0" w:color="auto"/>
                <w:bottom w:val="none" w:sz="0" w:space="0" w:color="auto"/>
                <w:right w:val="none" w:sz="0" w:space="0" w:color="auto"/>
              </w:divBdr>
            </w:div>
            <w:div w:id="1864006044">
              <w:marLeft w:val="0"/>
              <w:marRight w:val="0"/>
              <w:marTop w:val="0"/>
              <w:marBottom w:val="0"/>
              <w:divBdr>
                <w:top w:val="none" w:sz="0" w:space="0" w:color="auto"/>
                <w:left w:val="none" w:sz="0" w:space="0" w:color="auto"/>
                <w:bottom w:val="none" w:sz="0" w:space="0" w:color="auto"/>
                <w:right w:val="none" w:sz="0" w:space="0" w:color="auto"/>
              </w:divBdr>
            </w:div>
            <w:div w:id="2138064537">
              <w:marLeft w:val="0"/>
              <w:marRight w:val="0"/>
              <w:marTop w:val="0"/>
              <w:marBottom w:val="0"/>
              <w:divBdr>
                <w:top w:val="none" w:sz="0" w:space="0" w:color="auto"/>
                <w:left w:val="none" w:sz="0" w:space="0" w:color="auto"/>
                <w:bottom w:val="none" w:sz="0" w:space="0" w:color="auto"/>
                <w:right w:val="none" w:sz="0" w:space="0" w:color="auto"/>
              </w:divBdr>
            </w:div>
            <w:div w:id="1775199890">
              <w:marLeft w:val="0"/>
              <w:marRight w:val="0"/>
              <w:marTop w:val="0"/>
              <w:marBottom w:val="0"/>
              <w:divBdr>
                <w:top w:val="none" w:sz="0" w:space="0" w:color="auto"/>
                <w:left w:val="none" w:sz="0" w:space="0" w:color="auto"/>
                <w:bottom w:val="none" w:sz="0" w:space="0" w:color="auto"/>
                <w:right w:val="none" w:sz="0" w:space="0" w:color="auto"/>
              </w:divBdr>
            </w:div>
            <w:div w:id="366415806">
              <w:marLeft w:val="0"/>
              <w:marRight w:val="0"/>
              <w:marTop w:val="0"/>
              <w:marBottom w:val="0"/>
              <w:divBdr>
                <w:top w:val="none" w:sz="0" w:space="0" w:color="auto"/>
                <w:left w:val="none" w:sz="0" w:space="0" w:color="auto"/>
                <w:bottom w:val="none" w:sz="0" w:space="0" w:color="auto"/>
                <w:right w:val="none" w:sz="0" w:space="0" w:color="auto"/>
              </w:divBdr>
            </w:div>
            <w:div w:id="168760438">
              <w:marLeft w:val="0"/>
              <w:marRight w:val="0"/>
              <w:marTop w:val="0"/>
              <w:marBottom w:val="0"/>
              <w:divBdr>
                <w:top w:val="none" w:sz="0" w:space="0" w:color="auto"/>
                <w:left w:val="none" w:sz="0" w:space="0" w:color="auto"/>
                <w:bottom w:val="none" w:sz="0" w:space="0" w:color="auto"/>
                <w:right w:val="none" w:sz="0" w:space="0" w:color="auto"/>
              </w:divBdr>
            </w:div>
            <w:div w:id="313535498">
              <w:marLeft w:val="0"/>
              <w:marRight w:val="0"/>
              <w:marTop w:val="0"/>
              <w:marBottom w:val="0"/>
              <w:divBdr>
                <w:top w:val="none" w:sz="0" w:space="0" w:color="auto"/>
                <w:left w:val="none" w:sz="0" w:space="0" w:color="auto"/>
                <w:bottom w:val="none" w:sz="0" w:space="0" w:color="auto"/>
                <w:right w:val="none" w:sz="0" w:space="0" w:color="auto"/>
              </w:divBdr>
            </w:div>
            <w:div w:id="4523057">
              <w:marLeft w:val="0"/>
              <w:marRight w:val="0"/>
              <w:marTop w:val="0"/>
              <w:marBottom w:val="0"/>
              <w:divBdr>
                <w:top w:val="none" w:sz="0" w:space="0" w:color="auto"/>
                <w:left w:val="none" w:sz="0" w:space="0" w:color="auto"/>
                <w:bottom w:val="none" w:sz="0" w:space="0" w:color="auto"/>
                <w:right w:val="none" w:sz="0" w:space="0" w:color="auto"/>
              </w:divBdr>
            </w:div>
          </w:divsChild>
        </w:div>
        <w:div w:id="904949576">
          <w:marLeft w:val="0"/>
          <w:marRight w:val="0"/>
          <w:marTop w:val="0"/>
          <w:marBottom w:val="0"/>
          <w:divBdr>
            <w:top w:val="none" w:sz="0" w:space="0" w:color="auto"/>
            <w:left w:val="none" w:sz="0" w:space="0" w:color="auto"/>
            <w:bottom w:val="none" w:sz="0" w:space="0" w:color="auto"/>
            <w:right w:val="none" w:sz="0" w:space="0" w:color="auto"/>
          </w:divBdr>
        </w:div>
        <w:div w:id="1345475562">
          <w:marLeft w:val="0"/>
          <w:marRight w:val="0"/>
          <w:marTop w:val="0"/>
          <w:marBottom w:val="0"/>
          <w:divBdr>
            <w:top w:val="none" w:sz="0" w:space="0" w:color="auto"/>
            <w:left w:val="none" w:sz="0" w:space="0" w:color="auto"/>
            <w:bottom w:val="none" w:sz="0" w:space="0" w:color="auto"/>
            <w:right w:val="none" w:sz="0" w:space="0" w:color="auto"/>
          </w:divBdr>
        </w:div>
        <w:div w:id="1702433195">
          <w:marLeft w:val="0"/>
          <w:marRight w:val="0"/>
          <w:marTop w:val="0"/>
          <w:marBottom w:val="0"/>
          <w:divBdr>
            <w:top w:val="none" w:sz="0" w:space="0" w:color="auto"/>
            <w:left w:val="none" w:sz="0" w:space="0" w:color="auto"/>
            <w:bottom w:val="none" w:sz="0" w:space="0" w:color="auto"/>
            <w:right w:val="none" w:sz="0" w:space="0" w:color="auto"/>
          </w:divBdr>
        </w:div>
        <w:div w:id="1291784975">
          <w:marLeft w:val="0"/>
          <w:marRight w:val="0"/>
          <w:marTop w:val="0"/>
          <w:marBottom w:val="0"/>
          <w:divBdr>
            <w:top w:val="none" w:sz="0" w:space="0" w:color="auto"/>
            <w:left w:val="none" w:sz="0" w:space="0" w:color="auto"/>
            <w:bottom w:val="none" w:sz="0" w:space="0" w:color="auto"/>
            <w:right w:val="none" w:sz="0" w:space="0" w:color="auto"/>
          </w:divBdr>
        </w:div>
        <w:div w:id="1134836754">
          <w:marLeft w:val="0"/>
          <w:marRight w:val="0"/>
          <w:marTop w:val="0"/>
          <w:marBottom w:val="0"/>
          <w:divBdr>
            <w:top w:val="none" w:sz="0" w:space="0" w:color="auto"/>
            <w:left w:val="none" w:sz="0" w:space="0" w:color="auto"/>
            <w:bottom w:val="none" w:sz="0" w:space="0" w:color="auto"/>
            <w:right w:val="none" w:sz="0" w:space="0" w:color="auto"/>
          </w:divBdr>
        </w:div>
        <w:div w:id="714429380">
          <w:marLeft w:val="0"/>
          <w:marRight w:val="0"/>
          <w:marTop w:val="0"/>
          <w:marBottom w:val="0"/>
          <w:divBdr>
            <w:top w:val="none" w:sz="0" w:space="0" w:color="auto"/>
            <w:left w:val="none" w:sz="0" w:space="0" w:color="auto"/>
            <w:bottom w:val="none" w:sz="0" w:space="0" w:color="auto"/>
            <w:right w:val="none" w:sz="0" w:space="0" w:color="auto"/>
          </w:divBdr>
        </w:div>
        <w:div w:id="462774506">
          <w:marLeft w:val="0"/>
          <w:marRight w:val="0"/>
          <w:marTop w:val="0"/>
          <w:marBottom w:val="0"/>
          <w:divBdr>
            <w:top w:val="none" w:sz="0" w:space="0" w:color="auto"/>
            <w:left w:val="none" w:sz="0" w:space="0" w:color="auto"/>
            <w:bottom w:val="none" w:sz="0" w:space="0" w:color="auto"/>
            <w:right w:val="none" w:sz="0" w:space="0" w:color="auto"/>
          </w:divBdr>
        </w:div>
        <w:div w:id="1698844997">
          <w:marLeft w:val="0"/>
          <w:marRight w:val="0"/>
          <w:marTop w:val="0"/>
          <w:marBottom w:val="0"/>
          <w:divBdr>
            <w:top w:val="none" w:sz="0" w:space="0" w:color="auto"/>
            <w:left w:val="none" w:sz="0" w:space="0" w:color="auto"/>
            <w:bottom w:val="none" w:sz="0" w:space="0" w:color="auto"/>
            <w:right w:val="none" w:sz="0" w:space="0" w:color="auto"/>
          </w:divBdr>
          <w:divsChild>
            <w:div w:id="86729311">
              <w:marLeft w:val="0"/>
              <w:marRight w:val="0"/>
              <w:marTop w:val="0"/>
              <w:marBottom w:val="0"/>
              <w:divBdr>
                <w:top w:val="none" w:sz="0" w:space="0" w:color="auto"/>
                <w:left w:val="none" w:sz="0" w:space="0" w:color="auto"/>
                <w:bottom w:val="none" w:sz="0" w:space="0" w:color="auto"/>
                <w:right w:val="none" w:sz="0" w:space="0" w:color="auto"/>
              </w:divBdr>
            </w:div>
            <w:div w:id="35863021">
              <w:marLeft w:val="0"/>
              <w:marRight w:val="0"/>
              <w:marTop w:val="0"/>
              <w:marBottom w:val="0"/>
              <w:divBdr>
                <w:top w:val="none" w:sz="0" w:space="0" w:color="auto"/>
                <w:left w:val="none" w:sz="0" w:space="0" w:color="auto"/>
                <w:bottom w:val="none" w:sz="0" w:space="0" w:color="auto"/>
                <w:right w:val="none" w:sz="0" w:space="0" w:color="auto"/>
              </w:divBdr>
            </w:div>
            <w:div w:id="1169059790">
              <w:marLeft w:val="0"/>
              <w:marRight w:val="0"/>
              <w:marTop w:val="0"/>
              <w:marBottom w:val="0"/>
              <w:divBdr>
                <w:top w:val="none" w:sz="0" w:space="0" w:color="auto"/>
                <w:left w:val="none" w:sz="0" w:space="0" w:color="auto"/>
                <w:bottom w:val="none" w:sz="0" w:space="0" w:color="auto"/>
                <w:right w:val="none" w:sz="0" w:space="0" w:color="auto"/>
              </w:divBdr>
            </w:div>
            <w:div w:id="1599024372">
              <w:marLeft w:val="0"/>
              <w:marRight w:val="0"/>
              <w:marTop w:val="0"/>
              <w:marBottom w:val="0"/>
              <w:divBdr>
                <w:top w:val="none" w:sz="0" w:space="0" w:color="auto"/>
                <w:left w:val="none" w:sz="0" w:space="0" w:color="auto"/>
                <w:bottom w:val="none" w:sz="0" w:space="0" w:color="auto"/>
                <w:right w:val="none" w:sz="0" w:space="0" w:color="auto"/>
              </w:divBdr>
            </w:div>
            <w:div w:id="692002280">
              <w:marLeft w:val="0"/>
              <w:marRight w:val="0"/>
              <w:marTop w:val="0"/>
              <w:marBottom w:val="0"/>
              <w:divBdr>
                <w:top w:val="none" w:sz="0" w:space="0" w:color="auto"/>
                <w:left w:val="none" w:sz="0" w:space="0" w:color="auto"/>
                <w:bottom w:val="none" w:sz="0" w:space="0" w:color="auto"/>
                <w:right w:val="none" w:sz="0" w:space="0" w:color="auto"/>
              </w:divBdr>
            </w:div>
            <w:div w:id="1440561273">
              <w:marLeft w:val="0"/>
              <w:marRight w:val="0"/>
              <w:marTop w:val="0"/>
              <w:marBottom w:val="0"/>
              <w:divBdr>
                <w:top w:val="none" w:sz="0" w:space="0" w:color="auto"/>
                <w:left w:val="none" w:sz="0" w:space="0" w:color="auto"/>
                <w:bottom w:val="none" w:sz="0" w:space="0" w:color="auto"/>
                <w:right w:val="none" w:sz="0" w:space="0" w:color="auto"/>
              </w:divBdr>
            </w:div>
            <w:div w:id="602032305">
              <w:marLeft w:val="0"/>
              <w:marRight w:val="0"/>
              <w:marTop w:val="0"/>
              <w:marBottom w:val="0"/>
              <w:divBdr>
                <w:top w:val="none" w:sz="0" w:space="0" w:color="auto"/>
                <w:left w:val="none" w:sz="0" w:space="0" w:color="auto"/>
                <w:bottom w:val="none" w:sz="0" w:space="0" w:color="auto"/>
                <w:right w:val="none" w:sz="0" w:space="0" w:color="auto"/>
              </w:divBdr>
            </w:div>
            <w:div w:id="1419593919">
              <w:marLeft w:val="0"/>
              <w:marRight w:val="0"/>
              <w:marTop w:val="0"/>
              <w:marBottom w:val="0"/>
              <w:divBdr>
                <w:top w:val="none" w:sz="0" w:space="0" w:color="auto"/>
                <w:left w:val="none" w:sz="0" w:space="0" w:color="auto"/>
                <w:bottom w:val="none" w:sz="0" w:space="0" w:color="auto"/>
                <w:right w:val="none" w:sz="0" w:space="0" w:color="auto"/>
              </w:divBdr>
            </w:div>
            <w:div w:id="1737699079">
              <w:marLeft w:val="0"/>
              <w:marRight w:val="0"/>
              <w:marTop w:val="0"/>
              <w:marBottom w:val="0"/>
              <w:divBdr>
                <w:top w:val="none" w:sz="0" w:space="0" w:color="auto"/>
                <w:left w:val="none" w:sz="0" w:space="0" w:color="auto"/>
                <w:bottom w:val="none" w:sz="0" w:space="0" w:color="auto"/>
                <w:right w:val="none" w:sz="0" w:space="0" w:color="auto"/>
              </w:divBdr>
            </w:div>
            <w:div w:id="1171873285">
              <w:marLeft w:val="0"/>
              <w:marRight w:val="0"/>
              <w:marTop w:val="0"/>
              <w:marBottom w:val="0"/>
              <w:divBdr>
                <w:top w:val="none" w:sz="0" w:space="0" w:color="auto"/>
                <w:left w:val="none" w:sz="0" w:space="0" w:color="auto"/>
                <w:bottom w:val="none" w:sz="0" w:space="0" w:color="auto"/>
                <w:right w:val="none" w:sz="0" w:space="0" w:color="auto"/>
              </w:divBdr>
            </w:div>
            <w:div w:id="410079861">
              <w:marLeft w:val="0"/>
              <w:marRight w:val="0"/>
              <w:marTop w:val="0"/>
              <w:marBottom w:val="0"/>
              <w:divBdr>
                <w:top w:val="none" w:sz="0" w:space="0" w:color="auto"/>
                <w:left w:val="none" w:sz="0" w:space="0" w:color="auto"/>
                <w:bottom w:val="none" w:sz="0" w:space="0" w:color="auto"/>
                <w:right w:val="none" w:sz="0" w:space="0" w:color="auto"/>
              </w:divBdr>
            </w:div>
            <w:div w:id="17544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docs.fcc.gov/public/attachments/FCC-18-133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fcc.gov/public/attachments/FCC-18-111A1.pdf" TargetMode="External"/><Relationship Id="rId5" Type="http://schemas.openxmlformats.org/officeDocument/2006/relationships/hyperlink" Target="https://www.natoa.org/documents/NYC%20NATOA%20Intervenor%20Brief.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pu</dc:creator>
  <cp:keywords/>
  <dc:description/>
  <cp:lastModifiedBy>lena pu</cp:lastModifiedBy>
  <cp:revision>3</cp:revision>
  <dcterms:created xsi:type="dcterms:W3CDTF">2019-11-01T05:41:00Z</dcterms:created>
  <dcterms:modified xsi:type="dcterms:W3CDTF">2020-02-29T23:43:00Z</dcterms:modified>
</cp:coreProperties>
</file>